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6D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 APROB</w:t>
      </w:r>
    </w:p>
    <w:p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:rsidR="00AC1F60" w:rsidRDefault="00AC1F60" w:rsidP="00AC1F60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Director general</w:t>
      </w:r>
    </w:p>
    <w:p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Carmen-Elena DOBROTĂ</w:t>
      </w:r>
    </w:p>
    <w:p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>în anul 2017</w:t>
      </w:r>
      <w:r w:rsidR="00330F8C">
        <w:rPr>
          <w:rFonts w:cs="Calibri"/>
          <w:b/>
          <w:sz w:val="28"/>
          <w:szCs w:val="28"/>
          <w:lang w:val="ro-RO"/>
        </w:rPr>
        <w:t xml:space="preserve"> - 2018</w:t>
      </w:r>
    </w:p>
    <w:p w:rsidR="0097439B" w:rsidRPr="00514F38" w:rsidRDefault="00CF5801" w:rsidP="00E3648E">
      <w:pPr>
        <w:spacing w:after="0" w:line="240" w:lineRule="auto"/>
        <w:ind w:left="720"/>
        <w:jc w:val="center"/>
        <w:rPr>
          <w:rFonts w:cs="Calibri"/>
          <w:b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01</w:t>
      </w:r>
      <w:r w:rsidR="00891F8C">
        <w:rPr>
          <w:rFonts w:cs="Calibri"/>
          <w:b/>
          <w:sz w:val="24"/>
          <w:szCs w:val="24"/>
          <w:lang w:val="ro-RO"/>
        </w:rPr>
        <w:t xml:space="preserve"> </w:t>
      </w:r>
      <w:r>
        <w:rPr>
          <w:rFonts w:cs="Calibri"/>
          <w:b/>
          <w:sz w:val="24"/>
          <w:szCs w:val="24"/>
          <w:lang w:val="ro-RO"/>
        </w:rPr>
        <w:t>septembrie</w:t>
      </w:r>
      <w:r w:rsidR="00891F8C">
        <w:rPr>
          <w:rFonts w:cs="Calibri"/>
          <w:b/>
          <w:sz w:val="24"/>
          <w:szCs w:val="24"/>
          <w:lang w:val="ro-RO"/>
        </w:rPr>
        <w:t xml:space="preserve"> 2017</w:t>
      </w:r>
    </w:p>
    <w:p w:rsidR="007E4287" w:rsidRDefault="007E4287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26"/>
        <w:gridCol w:w="1330"/>
        <w:gridCol w:w="2366"/>
        <w:gridCol w:w="1921"/>
        <w:gridCol w:w="1476"/>
        <w:gridCol w:w="2029"/>
      </w:tblGrid>
      <w:tr w:rsidR="00FF08E7" w:rsidRPr="00AD56A2" w:rsidTr="0043586D">
        <w:trPr>
          <w:trHeight w:val="872"/>
          <w:tblHeader/>
        </w:trPr>
        <w:tc>
          <w:tcPr>
            <w:tcW w:w="242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Denumire ghid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Obiectiv specific din PO</w:t>
            </w:r>
          </w:p>
        </w:tc>
        <w:tc>
          <w:tcPr>
            <w:tcW w:w="813" w:type="pct"/>
            <w:vAlign w:val="center"/>
          </w:tcPr>
          <w:p w:rsidR="006C0AD8" w:rsidRPr="00AD56A2" w:rsidRDefault="006C0AD8" w:rsidP="00284BA0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Categorii de beneficiari</w:t>
            </w:r>
            <w:r w:rsidRPr="00284BA0">
              <w:rPr>
                <w:rFonts w:eastAsia="Times New Roman" w:cs="Calibri"/>
                <w:b/>
                <w:color w:val="000000"/>
                <w:vertAlign w:val="superscript"/>
                <w:lang w:val="ro-RO" w:eastAsia="ro-RO"/>
              </w:rPr>
              <w:footnoteReference w:id="1"/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Valoare alocată (lei)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b/>
                <w:color w:val="000000"/>
                <w:lang w:val="ro-RO" w:eastAsia="ro-RO"/>
              </w:rPr>
              <w:t>Mecanism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C0AD8" w:rsidRPr="00AD56A2" w:rsidRDefault="00075EA1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Stadiu apel/luna estimată pentru lansare</w:t>
            </w:r>
          </w:p>
        </w:tc>
      </w:tr>
      <w:tr w:rsidR="00D12400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AE6C69" w:rsidP="00965F52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1</w:t>
            </w:r>
            <w:r w:rsidR="00D12400">
              <w:rPr>
                <w:rFonts w:eastAsia="Times New Roman" w:cs="Calibri"/>
                <w:bCs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CP1 - </w:t>
            </w:r>
            <w:proofErr w:type="spellStart"/>
            <w:r w:rsidRPr="00AD56A2">
              <w:rPr>
                <w:color w:val="000000"/>
              </w:rPr>
              <w:t>Sprijinirea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referitoare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prevenirea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corupției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autorităților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D12400" w:rsidRPr="00284BA0" w:rsidRDefault="00D12400" w:rsidP="00965F52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30.000.000,00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135885" w:rsidRDefault="00055399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</w:t>
            </w:r>
            <w:r w:rsidR="00AE6C69">
              <w:rPr>
                <w:rFonts w:eastAsia="Times New Roman" w:cs="Times New Roman"/>
                <w:lang w:val="ro-RO" w:eastAsia="ro-RO"/>
              </w:rPr>
              <w:t>pel deschis</w:t>
            </w:r>
          </w:p>
        </w:tc>
      </w:tr>
      <w:tr w:rsidR="00D12400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AE6C69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CD4DA6">
              <w:rPr>
                <w:color w:val="000000"/>
              </w:rPr>
              <w:t>CP</w:t>
            </w:r>
            <w:r w:rsidR="00541C98">
              <w:rPr>
                <w:color w:val="000000"/>
              </w:rPr>
              <w:t>5</w:t>
            </w:r>
            <w:r w:rsidR="00B1658C" w:rsidRPr="00CD4DA6">
              <w:rPr>
                <w:color w:val="000000"/>
              </w:rPr>
              <w:t xml:space="preserve"> </w:t>
            </w:r>
            <w:r w:rsidRPr="00CD4DA6">
              <w:rPr>
                <w:color w:val="000000"/>
              </w:rPr>
              <w:t>-</w:t>
            </w:r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anticorupție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centrale</w:t>
            </w:r>
            <w:proofErr w:type="spellEnd"/>
            <w:r w:rsidRPr="00AD56A2">
              <w:rPr>
                <w:color w:val="00000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E15FC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12400" w:rsidRPr="00AD56A2">
              <w:rPr>
                <w:color w:val="000000"/>
              </w:rPr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CD4DA6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CD4DA6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AD56A2" w:rsidRDefault="00055399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</w:t>
            </w:r>
            <w:r w:rsidR="00AE6C69">
              <w:rPr>
                <w:rFonts w:eastAsia="Times New Roman" w:cs="Times New Roman"/>
                <w:lang w:val="ro-RO" w:eastAsia="ro-RO"/>
              </w:rPr>
              <w:t>pel deschis</w:t>
            </w:r>
          </w:p>
        </w:tc>
      </w:tr>
      <w:tr w:rsidR="00D12400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AE6C69" w:rsidP="00D77ABE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3C1BC7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>9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Calitate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transparen</w:t>
            </w:r>
            <w:r w:rsidR="003C1BC7">
              <w:rPr>
                <w:color w:val="000000"/>
              </w:rPr>
              <w:t>ță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etic</w:t>
            </w:r>
            <w:r>
              <w:rPr>
                <w:color w:val="000000"/>
              </w:rPr>
              <w:t>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</w:t>
            </w:r>
            <w:r w:rsidRPr="00AD56A2">
              <w:rPr>
                <w:color w:val="000000"/>
              </w:rPr>
              <w:t>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integritate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sistemului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judiciar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2.3</w:t>
            </w:r>
          </w:p>
        </w:tc>
        <w:tc>
          <w:tcPr>
            <w:tcW w:w="813" w:type="pct"/>
          </w:tcPr>
          <w:p w:rsidR="00D12400" w:rsidRPr="00284BA0" w:rsidRDefault="00D12400" w:rsidP="00D77ABE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sistemul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judiciar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2</w:t>
            </w:r>
            <w:r w:rsidR="00783BEF">
              <w:rPr>
                <w:color w:val="000000"/>
              </w:rPr>
              <w:t>60</w:t>
            </w:r>
            <w:r w:rsidRPr="00AD56A2">
              <w:rPr>
                <w:color w:val="000000"/>
              </w:rPr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AD56A2" w:rsidRDefault="00055399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</w:t>
            </w:r>
            <w:r w:rsidR="00AE6C69">
              <w:rPr>
                <w:rFonts w:eastAsia="Times New Roman" w:cs="Times New Roman"/>
                <w:lang w:val="ro-RO" w:eastAsia="ro-RO"/>
              </w:rPr>
              <w:t>pel deschis</w:t>
            </w:r>
          </w:p>
        </w:tc>
      </w:tr>
      <w:tr w:rsidR="0043586D" w:rsidRPr="00AD56A2" w:rsidTr="0043586D">
        <w:trPr>
          <w:trHeight w:val="595"/>
        </w:trPr>
        <w:tc>
          <w:tcPr>
            <w:tcW w:w="242" w:type="pct"/>
            <w:shd w:val="clear" w:color="auto" w:fill="auto"/>
            <w:vAlign w:val="center"/>
            <w:hideMark/>
          </w:tcPr>
          <w:p w:rsidR="004A6443" w:rsidRPr="00AD56A2" w:rsidRDefault="00AE6C69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 w:rsidR="004A6443">
              <w:rPr>
                <w:rFonts w:eastAsia="Times New Roman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4A6443" w:rsidRPr="00AD56A2" w:rsidRDefault="004A6443" w:rsidP="004A6443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CP</w:t>
            </w:r>
            <w:r w:rsidR="008A3EEA">
              <w:rPr>
                <w:color w:val="000000"/>
              </w:rPr>
              <w:t>6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Sprijinirea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autorităţilor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instituţiilor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locale, </w:t>
            </w:r>
            <w:proofErr w:type="spellStart"/>
            <w:r w:rsidRPr="00AD56A2">
              <w:rPr>
                <w:color w:val="000000"/>
              </w:rPr>
              <w:t>atât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regiunile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dezvoltate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cât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regiunile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puțin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dezvoltate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să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introducă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managementul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calității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în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concordanţă</w:t>
            </w:r>
            <w:proofErr w:type="spellEnd"/>
            <w:r w:rsidRPr="00AD56A2">
              <w:rPr>
                <w:color w:val="000000"/>
              </w:rPr>
              <w:t xml:space="preserve"> cu </w:t>
            </w:r>
            <w:proofErr w:type="spellStart"/>
            <w:r w:rsidRPr="00AD56A2">
              <w:rPr>
                <w:color w:val="000000"/>
              </w:rPr>
              <w:t>Planul</w:t>
            </w:r>
            <w:proofErr w:type="spellEnd"/>
            <w:r w:rsidRPr="00AD56A2">
              <w:rPr>
                <w:color w:val="000000"/>
              </w:rPr>
              <w:t xml:space="preserve"> de </w:t>
            </w:r>
            <w:proofErr w:type="spellStart"/>
            <w:r w:rsidRPr="00AD56A2">
              <w:rPr>
                <w:color w:val="000000"/>
              </w:rPr>
              <w:t>acțiuni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implementarea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etapi</w:t>
            </w:r>
            <w:r>
              <w:rPr>
                <w:color w:val="000000"/>
              </w:rPr>
              <w:t>zată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managementului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calității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autorități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și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instituții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publice</w:t>
            </w:r>
            <w:proofErr w:type="spellEnd"/>
            <w:r w:rsidRPr="003A41B1">
              <w:rPr>
                <w:color w:val="000000"/>
              </w:rPr>
              <w:t xml:space="preserve"> 2016-2020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A6443" w:rsidRPr="00AD56A2" w:rsidRDefault="004A6443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813" w:type="pct"/>
          </w:tcPr>
          <w:p w:rsidR="00783BEF" w:rsidRDefault="00783BEF" w:rsidP="00AA539F">
            <w:pPr>
              <w:spacing w:line="240" w:lineRule="auto"/>
              <w:ind w:left="0"/>
              <w:rPr>
                <w:color w:val="000000"/>
              </w:rPr>
            </w:pPr>
          </w:p>
          <w:p w:rsidR="00783BEF" w:rsidRDefault="00783BEF" w:rsidP="00AA539F">
            <w:pPr>
              <w:spacing w:line="240" w:lineRule="auto"/>
              <w:ind w:left="0"/>
              <w:rPr>
                <w:color w:val="000000"/>
              </w:rPr>
            </w:pPr>
          </w:p>
          <w:p w:rsidR="004A6443" w:rsidRPr="00284BA0" w:rsidRDefault="004A6443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>și instituții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A6443" w:rsidRPr="00AD56A2" w:rsidRDefault="008A3EEA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55.0</w:t>
            </w:r>
            <w:r w:rsidR="004A6443">
              <w:rPr>
                <w:color w:val="000000"/>
              </w:rPr>
              <w:t>5</w:t>
            </w:r>
            <w:r w:rsidR="004A6443" w:rsidRPr="00AD56A2">
              <w:rPr>
                <w:color w:val="000000"/>
              </w:rPr>
              <w:t>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4A6443" w:rsidRPr="00AD56A2" w:rsidRDefault="004A6443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A6443" w:rsidRPr="00D209EA" w:rsidRDefault="008A3EEA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septembrie</w:t>
            </w:r>
            <w:r w:rsidR="004A6443" w:rsidRPr="004A6443">
              <w:rPr>
                <w:rFonts w:eastAsia="Times New Roman" w:cs="Times New Roman"/>
                <w:color w:val="000000"/>
                <w:lang w:val="ro-RO" w:eastAsia="ro-RO"/>
              </w:rPr>
              <w:t xml:space="preserve"> 2017</w:t>
            </w:r>
          </w:p>
        </w:tc>
      </w:tr>
      <w:tr w:rsidR="005A7DA7" w:rsidRPr="00AD56A2" w:rsidTr="0043586D">
        <w:trPr>
          <w:trHeight w:val="742"/>
        </w:trPr>
        <w:tc>
          <w:tcPr>
            <w:tcW w:w="242" w:type="pct"/>
            <w:shd w:val="clear" w:color="auto" w:fill="auto"/>
            <w:vAlign w:val="center"/>
            <w:hideMark/>
          </w:tcPr>
          <w:p w:rsidR="005A7DA7" w:rsidRDefault="00AE6C69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5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CP</w:t>
            </w:r>
            <w:r w:rsidR="002F0D3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M</w:t>
            </w:r>
            <w:r>
              <w:rPr>
                <w:color w:val="000000"/>
                <w:lang w:val="ro-RO"/>
              </w:rPr>
              <w:t>ă</w:t>
            </w:r>
            <w:proofErr w:type="spellStart"/>
            <w:r>
              <w:rPr>
                <w:color w:val="000000"/>
              </w:rPr>
              <w:t>suri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creștere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gradului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conștientizare</w:t>
            </w:r>
            <w:proofErr w:type="spellEnd"/>
            <w:r>
              <w:rPr>
                <w:color w:val="000000"/>
              </w:rPr>
              <w:t xml:space="preserve"> </w:t>
            </w:r>
            <w:r w:rsidRPr="00017912">
              <w:rPr>
                <w:lang w:val="ro-RO"/>
              </w:rPr>
              <w:t>a corupției atât în rândul cetățenilor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5648E5" w:rsidRDefault="005648E5" w:rsidP="00AA539F">
            <w:pPr>
              <w:spacing w:line="240" w:lineRule="auto"/>
              <w:ind w:left="0"/>
              <w:rPr>
                <w:color w:val="000000"/>
              </w:rPr>
            </w:pPr>
          </w:p>
          <w:p w:rsidR="005A7DA7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ONG-</w:t>
            </w:r>
            <w:proofErr w:type="spellStart"/>
            <w:r>
              <w:rPr>
                <w:color w:val="000000"/>
              </w:rPr>
              <w:t>uri</w:t>
            </w:r>
            <w:proofErr w:type="spellEnd"/>
          </w:p>
          <w:p w:rsidR="005A7DA7" w:rsidRDefault="005A7DA7" w:rsidP="00AA539F">
            <w:pPr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A7DA7" w:rsidRPr="00AD56A2" w:rsidRDefault="00597704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  <w:r w:rsidR="005A7DA7">
              <w:rPr>
                <w:color w:val="000000"/>
              </w:rPr>
              <w:t>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5A7DA7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Competitiv 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A7DA7" w:rsidRPr="00AD56A2" w:rsidRDefault="00856F80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octombrie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 xml:space="preserve"> 2017</w:t>
            </w:r>
          </w:p>
        </w:tc>
      </w:tr>
      <w:tr w:rsidR="00AA4FE5" w:rsidRPr="00AD56A2" w:rsidTr="0043586D">
        <w:trPr>
          <w:trHeight w:val="742"/>
        </w:trPr>
        <w:tc>
          <w:tcPr>
            <w:tcW w:w="242" w:type="pct"/>
            <w:shd w:val="clear" w:color="auto" w:fill="auto"/>
            <w:vAlign w:val="center"/>
          </w:tcPr>
          <w:p w:rsidR="00AA4FE5" w:rsidRDefault="00AA4FE5" w:rsidP="00AA4FE5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6.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AA4FE5" w:rsidRDefault="00AA4FE5" w:rsidP="00AA4FE5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CP8 - </w:t>
            </w:r>
            <w:r w:rsidRPr="005648E5">
              <w:rPr>
                <w:color w:val="000000"/>
                <w:lang w:val="ro-RO"/>
              </w:rPr>
              <w:t>Sprijin pentru acțiuni de îmbunătățire a accesului la justiție, pentru promovarea metodelor alternative de soluționare a litigiilor, pentru îmbunătățirea activității de executare a hotărârilor judecătorești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A4FE5" w:rsidRDefault="00AA4FE5" w:rsidP="00AA4FE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2.3</w:t>
            </w:r>
          </w:p>
        </w:tc>
        <w:tc>
          <w:tcPr>
            <w:tcW w:w="813" w:type="pct"/>
          </w:tcPr>
          <w:p w:rsidR="00AA4FE5" w:rsidRPr="008E4B1F" w:rsidRDefault="00AA4FE5" w:rsidP="00AA4FE5">
            <w:pPr>
              <w:spacing w:line="240" w:lineRule="auto"/>
              <w:ind w:left="0"/>
              <w:jc w:val="left"/>
              <w:rPr>
                <w:rFonts w:cs="Arial"/>
                <w:bCs/>
                <w:lang w:val="ro-RO"/>
              </w:rPr>
            </w:pPr>
            <w:r w:rsidRPr="008E4B1F">
              <w:rPr>
                <w:rFonts w:cs="Arial"/>
                <w:bCs/>
                <w:lang w:val="ro-RO"/>
              </w:rPr>
              <w:t>Asociații, uniuni și alte tipuri de organizații profesionale cu activitate în domeniul justiției</w:t>
            </w:r>
            <w:r w:rsidRPr="00966B62">
              <w:rPr>
                <w:rFonts w:cs="Arial"/>
                <w:bCs/>
                <w:lang w:val="ro-RO"/>
              </w:rPr>
              <w:t>,</w:t>
            </w:r>
          </w:p>
          <w:p w:rsidR="00AA4FE5" w:rsidRDefault="00AA4FE5" w:rsidP="00AA4FE5">
            <w:pPr>
              <w:spacing w:line="240" w:lineRule="auto"/>
              <w:ind w:left="0"/>
              <w:rPr>
                <w:rFonts w:cs="Arial"/>
                <w:bCs/>
                <w:lang w:val="ro-RO"/>
              </w:rPr>
            </w:pPr>
          </w:p>
          <w:p w:rsidR="00AA4FE5" w:rsidRDefault="00AA4FE5" w:rsidP="00AA4FE5">
            <w:pPr>
              <w:spacing w:line="240" w:lineRule="auto"/>
              <w:ind w:left="0"/>
              <w:rPr>
                <w:color w:val="000000"/>
              </w:rPr>
            </w:pPr>
            <w:r w:rsidRPr="008E4B1F">
              <w:rPr>
                <w:rFonts w:cs="Arial"/>
                <w:bCs/>
                <w:lang w:val="ro-RO"/>
              </w:rPr>
              <w:t xml:space="preserve">ONG-uri cu </w:t>
            </w:r>
            <w:r w:rsidRPr="007D19CC">
              <w:rPr>
                <w:rFonts w:cs="Arial"/>
                <w:bCs/>
                <w:lang w:val="ro-RO"/>
              </w:rPr>
              <w:t>activitate în domeniul justiției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A4FE5" w:rsidRDefault="00AA4FE5" w:rsidP="00AA4FE5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40.000.000,00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4FE5" w:rsidRDefault="00AA4FE5" w:rsidP="00AA4FE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Competitiv 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A4FE5" w:rsidRPr="00AD56A2" w:rsidRDefault="00AA4FE5" w:rsidP="00AA4FE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octombrie 2017</w:t>
            </w:r>
          </w:p>
        </w:tc>
      </w:tr>
      <w:tr w:rsidR="005A7DA7" w:rsidRPr="00AD56A2" w:rsidTr="0043586D">
        <w:trPr>
          <w:trHeight w:val="688"/>
        </w:trPr>
        <w:tc>
          <w:tcPr>
            <w:tcW w:w="242" w:type="pct"/>
            <w:shd w:val="clear" w:color="auto" w:fill="auto"/>
            <w:vAlign w:val="center"/>
            <w:hideMark/>
          </w:tcPr>
          <w:p w:rsidR="005A7DA7" w:rsidRPr="00AD56A2" w:rsidRDefault="005648E5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7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CP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creșterea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transparenței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autorităților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5A7DA7" w:rsidRPr="00284BA0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 xml:space="preserve">și instituții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100.000.000,00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A7DA7" w:rsidRPr="00AD56A2" w:rsidRDefault="005A7DA7" w:rsidP="005A7DA7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noiembrie </w:t>
            </w:r>
            <w:r w:rsidR="00E037CD">
              <w:rPr>
                <w:rFonts w:eastAsia="Times New Roman" w:cs="Times New Roman"/>
                <w:color w:val="000000"/>
                <w:lang w:val="ro-RO" w:eastAsia="ro-RO"/>
              </w:rPr>
              <w:t xml:space="preserve">– decembrie 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2017</w:t>
            </w:r>
          </w:p>
        </w:tc>
      </w:tr>
      <w:tr w:rsidR="00D12400" w:rsidRPr="00AD56A2" w:rsidTr="0043586D">
        <w:trPr>
          <w:trHeight w:val="341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4A6443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8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 w:rsidR="00B1658C"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Implementare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unitare</w:t>
            </w:r>
            <w:proofErr w:type="spellEnd"/>
            <w:r w:rsidRPr="00AD56A2">
              <w:rPr>
                <w:color w:val="000000"/>
              </w:rPr>
              <w:t xml:space="preserve"> de management al </w:t>
            </w:r>
            <w:proofErr w:type="spellStart"/>
            <w:r w:rsidRPr="00AD56A2">
              <w:rPr>
                <w:color w:val="000000"/>
              </w:rPr>
              <w:t>resurselor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umane</w:t>
            </w:r>
            <w:proofErr w:type="spellEnd"/>
            <w:r w:rsidRPr="00AD56A2">
              <w:rPr>
                <w:color w:val="00000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1.2</w:t>
            </w:r>
          </w:p>
        </w:tc>
        <w:tc>
          <w:tcPr>
            <w:tcW w:w="813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80.000.000,00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AD56A2" w:rsidRDefault="000710A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</w:t>
            </w:r>
            <w:r w:rsidR="00330F8C">
              <w:rPr>
                <w:rFonts w:eastAsia="Times New Roman" w:cs="Times New Roman"/>
                <w:color w:val="000000"/>
                <w:lang w:val="ro-RO" w:eastAsia="ro-RO"/>
              </w:rPr>
              <w:t>anuarie – februarie 2018</w:t>
            </w:r>
            <w:r w:rsidR="004D4465">
              <w:rPr>
                <w:rFonts w:eastAsia="Times New Roman" w:cs="Times New Roman"/>
                <w:color w:val="000000"/>
                <w:lang w:val="ro-RO" w:eastAsia="ro-RO"/>
              </w:rPr>
              <w:t xml:space="preserve"> </w:t>
            </w:r>
          </w:p>
        </w:tc>
      </w:tr>
      <w:tr w:rsidR="00D12400" w:rsidRPr="005A7DA7" w:rsidTr="0043586D">
        <w:trPr>
          <w:trHeight w:val="1052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5A7DA7" w:rsidRDefault="004A6443" w:rsidP="005A7DA7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9</w:t>
            </w:r>
            <w:r w:rsidR="00D12400" w:rsidRPr="005A7DA7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5A7DA7" w:rsidRDefault="00D12400" w:rsidP="00B1658C">
            <w:pPr>
              <w:spacing w:line="240" w:lineRule="auto"/>
              <w:ind w:left="0"/>
            </w:pPr>
            <w:r w:rsidRPr="005A7DA7">
              <w:t xml:space="preserve">CP - </w:t>
            </w:r>
            <w:proofErr w:type="spellStart"/>
            <w:r w:rsidRPr="005A7DA7">
              <w:t>Sprijin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implementarea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regulilor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privind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achizițiile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autoritățile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instituțiilor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centrale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5A7DA7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1.4</w:t>
            </w:r>
          </w:p>
        </w:tc>
        <w:tc>
          <w:tcPr>
            <w:tcW w:w="813" w:type="pct"/>
          </w:tcPr>
          <w:p w:rsidR="00D12400" w:rsidRPr="005A7DA7" w:rsidRDefault="00D12400" w:rsidP="00654078">
            <w:pPr>
              <w:spacing w:line="240" w:lineRule="auto"/>
              <w:ind w:left="0"/>
            </w:pPr>
            <w:proofErr w:type="spellStart"/>
            <w:r w:rsidRPr="005A7DA7">
              <w:t>Autorități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5A7DA7" w:rsidRDefault="005A7DA7" w:rsidP="00BD3B89">
            <w:pPr>
              <w:spacing w:line="240" w:lineRule="auto"/>
              <w:ind w:left="0"/>
              <w:jc w:val="right"/>
            </w:pPr>
            <w:r>
              <w:t>80</w:t>
            </w:r>
            <w:r w:rsidR="00D12400" w:rsidRPr="005A7DA7"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5A7DA7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5A7DA7" w:rsidRDefault="00330F8C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ianuarie – februarie 2018</w:t>
            </w:r>
          </w:p>
        </w:tc>
      </w:tr>
      <w:tr w:rsidR="00E02F98" w:rsidRPr="005A7DA7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E02F98" w:rsidRPr="005A7DA7" w:rsidRDefault="004A6443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10</w:t>
            </w:r>
            <w:r w:rsidR="00E02F98" w:rsidRPr="005A7DA7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</w:pPr>
            <w:r w:rsidRPr="005A7DA7">
              <w:t xml:space="preserve">CP - </w:t>
            </w:r>
            <w:proofErr w:type="spellStart"/>
            <w:r w:rsidRPr="005A7DA7">
              <w:t>Sprijin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implementarea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regulilor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privind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achizițiile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autoritățile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locale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1.4</w:t>
            </w:r>
          </w:p>
        </w:tc>
        <w:tc>
          <w:tcPr>
            <w:tcW w:w="813" w:type="pct"/>
          </w:tcPr>
          <w:p w:rsidR="00E02F98" w:rsidRPr="005A7DA7" w:rsidRDefault="00E02F98" w:rsidP="00AA539F">
            <w:pPr>
              <w:spacing w:line="240" w:lineRule="auto"/>
              <w:ind w:left="0"/>
            </w:pPr>
            <w:proofErr w:type="spellStart"/>
            <w:r w:rsidRPr="005A7DA7">
              <w:t>Autorități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right"/>
            </w:pPr>
            <w:r>
              <w:t>50</w:t>
            </w:r>
            <w:r w:rsidRPr="005A7DA7"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ianuarie – februarie 2018</w:t>
            </w:r>
          </w:p>
        </w:tc>
      </w:tr>
      <w:tr w:rsidR="00D12400" w:rsidRPr="00FA4C35" w:rsidTr="0043586D">
        <w:trPr>
          <w:trHeight w:val="647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FA4C35" w:rsidRDefault="005A7DA7" w:rsidP="004A6443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lang w:val="ro-RO" w:eastAsia="ro-RO"/>
              </w:rPr>
              <w:t>1</w:t>
            </w:r>
            <w:r w:rsidR="00D12400" w:rsidRPr="00FA4C35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FA4C35" w:rsidRDefault="00D12400" w:rsidP="00B1658C">
            <w:pPr>
              <w:spacing w:line="240" w:lineRule="auto"/>
              <w:ind w:left="0"/>
              <w:rPr>
                <w:rFonts w:eastAsia="Times New Roman" w:cs="Times New Roman"/>
                <w:lang w:val="ro-RO" w:eastAsia="ro-RO"/>
              </w:rPr>
            </w:pPr>
            <w:r w:rsidRPr="00FA4C35">
              <w:t xml:space="preserve">CP - </w:t>
            </w:r>
            <w:proofErr w:type="spellStart"/>
            <w:r w:rsidRPr="00FA4C35">
              <w:t>Fundamentare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decizii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și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planificare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strategică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în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administrația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publică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locală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FA4C35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2.1</w:t>
            </w:r>
          </w:p>
        </w:tc>
        <w:tc>
          <w:tcPr>
            <w:tcW w:w="813" w:type="pct"/>
          </w:tcPr>
          <w:p w:rsidR="00D12400" w:rsidRPr="00FA4C35" w:rsidRDefault="00D12400" w:rsidP="00284BA0">
            <w:pPr>
              <w:spacing w:line="240" w:lineRule="auto"/>
              <w:ind w:left="0"/>
            </w:pPr>
            <w:proofErr w:type="spellStart"/>
            <w:r w:rsidRPr="00FA4C35">
              <w:t>Autorități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și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instituții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publice</w:t>
            </w:r>
            <w:proofErr w:type="spellEnd"/>
            <w:r w:rsidRPr="00FA4C35"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FA4C35" w:rsidRDefault="00D12400" w:rsidP="00BD3B89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 w:rsidRPr="00FA4C35">
              <w:t>140.000.000,00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FA4C35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FA4C35" w:rsidRDefault="00330F8C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ianuarie – februarie 2018</w:t>
            </w:r>
          </w:p>
        </w:tc>
      </w:tr>
      <w:tr w:rsidR="00E02F98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E02F98" w:rsidRPr="00AD56A2" w:rsidRDefault="00E02F98" w:rsidP="004A6443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Sprijin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consolidarea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sistemul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judiciar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1.3</w:t>
            </w:r>
          </w:p>
        </w:tc>
        <w:tc>
          <w:tcPr>
            <w:tcW w:w="813" w:type="pct"/>
          </w:tcPr>
          <w:p w:rsidR="00E02F98" w:rsidRPr="00284BA0" w:rsidRDefault="00E02F98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D21183">
              <w:rPr>
                <w:color w:val="000000"/>
              </w:rPr>
              <w:t>Instituții</w:t>
            </w:r>
            <w:proofErr w:type="spellEnd"/>
            <w:r w:rsidRPr="00D21183">
              <w:rPr>
                <w:color w:val="000000"/>
              </w:rPr>
              <w:t xml:space="preserve"> din </w:t>
            </w:r>
            <w:proofErr w:type="spellStart"/>
            <w:r w:rsidRPr="00D21183">
              <w:rPr>
                <w:color w:val="000000"/>
              </w:rPr>
              <w:t>sistemul</w:t>
            </w:r>
            <w:proofErr w:type="spellEnd"/>
            <w:r w:rsidRPr="00D21183">
              <w:rPr>
                <w:color w:val="000000"/>
              </w:rPr>
              <w:t xml:space="preserve"> </w:t>
            </w:r>
            <w:proofErr w:type="spellStart"/>
            <w:r w:rsidRPr="00D21183">
              <w:rPr>
                <w:color w:val="000000"/>
              </w:rPr>
              <w:t>judiciar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AD56A2">
              <w:rPr>
                <w:color w:val="000000"/>
              </w:rPr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februarie - martie 2018</w:t>
            </w:r>
          </w:p>
        </w:tc>
      </w:tr>
      <w:tr w:rsidR="0043586D" w:rsidRPr="00AD56A2" w:rsidTr="0043586D">
        <w:trPr>
          <w:trHeight w:val="742"/>
        </w:trPr>
        <w:tc>
          <w:tcPr>
            <w:tcW w:w="242" w:type="pct"/>
            <w:shd w:val="clear" w:color="auto" w:fill="auto"/>
            <w:vAlign w:val="center"/>
            <w:hideMark/>
          </w:tcPr>
          <w:p w:rsidR="00330F8C" w:rsidRPr="00FA4C35" w:rsidRDefault="005A7DA7" w:rsidP="005A7DA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r w:rsidR="00330F8C" w:rsidRPr="00FA4C35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rPr>
                <w:color w:val="000000"/>
              </w:rPr>
            </w:pPr>
            <w:r w:rsidRPr="00FA4C35">
              <w:rPr>
                <w:color w:val="000000"/>
              </w:rPr>
              <w:t xml:space="preserve">CP - </w:t>
            </w:r>
            <w:proofErr w:type="spellStart"/>
            <w:r w:rsidRPr="00FA4C35">
              <w:rPr>
                <w:color w:val="000000"/>
              </w:rPr>
              <w:t>Măsuri</w:t>
            </w:r>
            <w:proofErr w:type="spellEnd"/>
            <w:r w:rsidRPr="00FA4C35">
              <w:rPr>
                <w:color w:val="000000"/>
              </w:rPr>
              <w:t xml:space="preserve"> de </w:t>
            </w:r>
            <w:proofErr w:type="spellStart"/>
            <w:r w:rsidRPr="00FA4C35">
              <w:rPr>
                <w:color w:val="000000"/>
              </w:rPr>
              <w:t>simplificare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pentru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cetățeni</w:t>
            </w:r>
            <w:proofErr w:type="spellEnd"/>
            <w:r w:rsidRPr="00FA4C35">
              <w:rPr>
                <w:color w:val="000000"/>
              </w:rPr>
              <w:t xml:space="preserve"> la </w:t>
            </w:r>
            <w:proofErr w:type="spellStart"/>
            <w:r w:rsidRPr="00FA4C35">
              <w:rPr>
                <w:color w:val="000000"/>
              </w:rPr>
              <w:t>nivelul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administrației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publice</w:t>
            </w:r>
            <w:proofErr w:type="spellEnd"/>
            <w:r w:rsidRPr="00FA4C35">
              <w:rPr>
                <w:color w:val="000000"/>
              </w:rPr>
              <w:t xml:space="preserve"> locale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813" w:type="pct"/>
          </w:tcPr>
          <w:p w:rsidR="00330F8C" w:rsidRPr="00FA4C35" w:rsidRDefault="00330F8C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FA4C35">
              <w:rPr>
                <w:color w:val="000000"/>
              </w:rPr>
              <w:t>Autorități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și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instituții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publice</w:t>
            </w:r>
            <w:proofErr w:type="spellEnd"/>
            <w:r w:rsidRPr="00FA4C35"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FA4C35">
              <w:rPr>
                <w:color w:val="000000"/>
              </w:rPr>
              <w:t>230.000.000,00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30F8C" w:rsidRPr="00AD56A2" w:rsidRDefault="00330F8C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februarie – martie 2018</w:t>
            </w:r>
          </w:p>
        </w:tc>
      </w:tr>
      <w:tr w:rsidR="00D12400" w:rsidRPr="00330F8C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330F8C" w:rsidRDefault="00E05DC5" w:rsidP="004A6443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lang w:val="ro-RO" w:eastAsia="ro-RO"/>
              </w:rPr>
              <w:t>4</w:t>
            </w:r>
            <w:r w:rsidR="00D12400" w:rsidRPr="00330F8C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330F8C" w:rsidRDefault="00D12400" w:rsidP="00B1658C">
            <w:pPr>
              <w:spacing w:line="240" w:lineRule="auto"/>
              <w:ind w:left="0"/>
            </w:pPr>
            <w:r w:rsidRPr="00330F8C">
              <w:t xml:space="preserve">IP - </w:t>
            </w:r>
            <w:proofErr w:type="spellStart"/>
            <w:r w:rsidRPr="00330F8C">
              <w:t>Dezvoltarea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managementului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resurselor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umane</w:t>
            </w:r>
            <w:proofErr w:type="spellEnd"/>
            <w:r w:rsidRPr="00330F8C">
              <w:t xml:space="preserve"> din </w:t>
            </w:r>
            <w:proofErr w:type="spellStart"/>
            <w:r w:rsidRPr="00330F8C">
              <w:t>administrația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publică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și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implementare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măsuri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unitare</w:t>
            </w:r>
            <w:proofErr w:type="spellEnd"/>
            <w:r w:rsidRPr="00330F8C">
              <w:t xml:space="preserve"> de management al </w:t>
            </w:r>
            <w:proofErr w:type="spellStart"/>
            <w:r w:rsidRPr="00330F8C">
              <w:t>resurselor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umane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330F8C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1.2</w:t>
            </w:r>
          </w:p>
        </w:tc>
        <w:tc>
          <w:tcPr>
            <w:tcW w:w="813" w:type="pct"/>
          </w:tcPr>
          <w:p w:rsidR="00D12400" w:rsidRPr="00330F8C" w:rsidRDefault="00D12400" w:rsidP="00284BA0">
            <w:pPr>
              <w:spacing w:line="240" w:lineRule="auto"/>
              <w:ind w:left="0"/>
            </w:pPr>
            <w:proofErr w:type="spellStart"/>
            <w:r w:rsidRPr="00330F8C">
              <w:t>Autorități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și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instituții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publice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330F8C" w:rsidRDefault="00D12400" w:rsidP="00BD3B89">
            <w:pPr>
              <w:spacing w:line="240" w:lineRule="auto"/>
              <w:ind w:left="0"/>
              <w:jc w:val="right"/>
            </w:pPr>
            <w:r w:rsidRPr="00330F8C">
              <w:t>32.000.000,00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330F8C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330F8C" w:rsidRDefault="005A7DA7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f</w:t>
            </w:r>
            <w:r w:rsidR="000B4DA0" w:rsidRPr="00330F8C">
              <w:rPr>
                <w:rFonts w:eastAsia="Times New Roman" w:cs="Times New Roman"/>
                <w:lang w:val="ro-RO" w:eastAsia="ro-RO"/>
              </w:rPr>
              <w:t>ebruarie</w:t>
            </w:r>
            <w:r>
              <w:rPr>
                <w:rFonts w:eastAsia="Times New Roman" w:cs="Times New Roman"/>
                <w:lang w:val="ro-RO" w:eastAsia="ro-RO"/>
              </w:rPr>
              <w:t xml:space="preserve"> -</w:t>
            </w:r>
            <w:r w:rsidR="000B4DA0" w:rsidRPr="00330F8C">
              <w:rPr>
                <w:rFonts w:eastAsia="Times New Roman" w:cs="Times New Roman"/>
                <w:lang w:val="ro-RO" w:eastAsia="ro-RO"/>
              </w:rPr>
              <w:t xml:space="preserve"> martie 2018</w:t>
            </w:r>
          </w:p>
        </w:tc>
      </w:tr>
    </w:tbl>
    <w:p w:rsidR="00A65600" w:rsidRDefault="00A65600" w:rsidP="00D342AC">
      <w:pPr>
        <w:spacing w:line="240" w:lineRule="auto"/>
        <w:jc w:val="left"/>
        <w:rPr>
          <w:b/>
        </w:rPr>
      </w:pPr>
    </w:p>
    <w:p w:rsidR="00574606" w:rsidRDefault="00574606" w:rsidP="00D342AC">
      <w:pPr>
        <w:spacing w:line="240" w:lineRule="auto"/>
        <w:jc w:val="left"/>
        <w:rPr>
          <w:b/>
        </w:rPr>
      </w:pPr>
    </w:p>
    <w:sectPr w:rsidR="00574606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58" w:rsidRDefault="00271C58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1C58" w:rsidRDefault="00271C58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294"/>
      <w:docPartObj>
        <w:docPartGallery w:val="Page Numbers (Bottom of Page)"/>
        <w:docPartUnique/>
      </w:docPartObj>
    </w:sdtPr>
    <w:sdtEndPr/>
    <w:sdtContent>
      <w:p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58" w:rsidRDefault="00271C58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1C58" w:rsidRDefault="00271C58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C0AD8" w:rsidRDefault="006C0AD8" w:rsidP="006C0AD8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Categoriile</w:t>
      </w:r>
      <w:proofErr w:type="spellEnd"/>
      <w:r>
        <w:t xml:space="preserve"> de</w:t>
      </w:r>
      <w:r w:rsidRPr="00291C72">
        <w:t xml:space="preserve"> </w:t>
      </w:r>
      <w:proofErr w:type="spellStart"/>
      <w:r>
        <w:t>b</w:t>
      </w:r>
      <w:r w:rsidRPr="00291C72">
        <w:t>eneficiari</w:t>
      </w:r>
      <w:proofErr w:type="spellEnd"/>
      <w:r w:rsidRPr="00291C72">
        <w:t xml:space="preserve"> </w:t>
      </w:r>
      <w:proofErr w:type="spellStart"/>
      <w:r w:rsidRPr="00291C72">
        <w:t>sunt</w:t>
      </w:r>
      <w:proofErr w:type="spellEnd"/>
      <w:r w:rsidRPr="00291C72">
        <w:t xml:space="preserve"> </w:t>
      </w:r>
      <w:proofErr w:type="spellStart"/>
      <w:r w:rsidRPr="00291C72">
        <w:t>enumerați</w:t>
      </w:r>
      <w:proofErr w:type="spellEnd"/>
      <w:r w:rsidRPr="00291C72">
        <w:t xml:space="preserve"> cu </w:t>
      </w:r>
      <w:proofErr w:type="spellStart"/>
      <w:r w:rsidRPr="00291C72">
        <w:t>titlu</w:t>
      </w:r>
      <w:proofErr w:type="spellEnd"/>
      <w:r w:rsidRPr="00291C72">
        <w:t xml:space="preserve"> </w:t>
      </w:r>
      <w:proofErr w:type="spellStart"/>
      <w:r w:rsidRPr="00291C72">
        <w:t>orientativ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conformitate</w:t>
      </w:r>
      <w:proofErr w:type="spellEnd"/>
      <w:r w:rsidRPr="00291C72">
        <w:t xml:space="preserve"> cu </w:t>
      </w:r>
      <w:proofErr w:type="spellStart"/>
      <w:r w:rsidRPr="00291C72">
        <w:t>recomandăr</w:t>
      </w:r>
      <w:r>
        <w:t>ile</w:t>
      </w:r>
      <w:proofErr w:type="spellEnd"/>
      <w:r w:rsidRPr="00291C72">
        <w:t xml:space="preserve"> </w:t>
      </w:r>
      <w:proofErr w:type="spellStart"/>
      <w:r w:rsidRPr="00291C72">
        <w:t>Comitetului</w:t>
      </w:r>
      <w:proofErr w:type="spellEnd"/>
      <w:r w:rsidRPr="00291C72">
        <w:t xml:space="preserve"> de </w:t>
      </w:r>
      <w:proofErr w:type="spellStart"/>
      <w:r w:rsidRPr="00291C72">
        <w:t>Moni</w:t>
      </w:r>
      <w:r>
        <w:t>t</w:t>
      </w:r>
      <w:r w:rsidRPr="00291C72">
        <w:t>orizare</w:t>
      </w:r>
      <w:proofErr w:type="spellEnd"/>
      <w:r w:rsidRPr="00291C72">
        <w:t xml:space="preserve"> a POCA. </w:t>
      </w:r>
      <w:proofErr w:type="spellStart"/>
      <w:r w:rsidRPr="00291C72">
        <w:t>Ghidurile</w:t>
      </w:r>
      <w:proofErr w:type="spellEnd"/>
      <w:r w:rsidRPr="00291C72">
        <w:t xml:space="preserve"> </w:t>
      </w:r>
      <w:proofErr w:type="spellStart"/>
      <w:r w:rsidRPr="00291C72">
        <w:t>solicitantului</w:t>
      </w:r>
      <w:proofErr w:type="spellEnd"/>
      <w:r w:rsidRPr="00291C72">
        <w:t xml:space="preserve">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consultare</w:t>
      </w:r>
      <w:proofErr w:type="spellEnd"/>
      <w:r w:rsidRPr="00291C72">
        <w:t xml:space="preserve"> </w:t>
      </w:r>
      <w:proofErr w:type="spellStart"/>
      <w:r w:rsidRPr="00291C72">
        <w:t>publică</w:t>
      </w:r>
      <w:proofErr w:type="spellEnd"/>
      <w:r w:rsidRPr="00291C72">
        <w:t xml:space="preserve">, precum </w:t>
      </w:r>
      <w:proofErr w:type="spellStart"/>
      <w:r w:rsidRPr="00291C72">
        <w:t>și</w:t>
      </w:r>
      <w:proofErr w:type="spellEnd"/>
      <w:r w:rsidRPr="00291C72">
        <w:t xml:space="preserve"> </w:t>
      </w:r>
      <w:proofErr w:type="spellStart"/>
      <w:r w:rsidRPr="00291C72">
        <w:t>cele</w:t>
      </w:r>
      <w:proofErr w:type="spellEnd"/>
      <w:r w:rsidRPr="00291C72">
        <w:t xml:space="preserve"> </w:t>
      </w:r>
      <w:proofErr w:type="spellStart"/>
      <w:r w:rsidRPr="00291C72">
        <w:t>lansate</w:t>
      </w:r>
      <w:proofErr w:type="spellEnd"/>
      <w:r w:rsidRPr="00291C72">
        <w:t xml:space="preserve"> </w:t>
      </w:r>
      <w:proofErr w:type="spellStart"/>
      <w:r w:rsidRPr="00291C72">
        <w:t>oficial</w:t>
      </w:r>
      <w:proofErr w:type="spellEnd"/>
      <w:r w:rsidRPr="00291C72">
        <w:t xml:space="preserve"> </w:t>
      </w:r>
      <w:proofErr w:type="spellStart"/>
      <w:r w:rsidRPr="00291C72">
        <w:t>vor</w:t>
      </w:r>
      <w:proofErr w:type="spellEnd"/>
      <w:r w:rsidRPr="00291C72">
        <w:t xml:space="preserve"> </w:t>
      </w:r>
      <w:proofErr w:type="spellStart"/>
      <w:r w:rsidRPr="00291C72">
        <w:t>detalia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funcție</w:t>
      </w:r>
      <w:proofErr w:type="spellEnd"/>
      <w:r w:rsidRPr="00291C72">
        <w:t xml:space="preserve"> de </w:t>
      </w:r>
      <w:proofErr w:type="spellStart"/>
      <w:r w:rsidRPr="00291C72">
        <w:t>specificul</w:t>
      </w:r>
      <w:proofErr w:type="spellEnd"/>
      <w:r w:rsidRPr="00291C72">
        <w:t xml:space="preserve"> </w:t>
      </w:r>
      <w:proofErr w:type="spellStart"/>
      <w:r w:rsidRPr="00291C72">
        <w:t>măsurilor</w:t>
      </w:r>
      <w:proofErr w:type="spellEnd"/>
      <w:r w:rsidRPr="00291C72">
        <w:t xml:space="preserve"> </w:t>
      </w:r>
      <w:proofErr w:type="spellStart"/>
      <w:r w:rsidRPr="00291C72">
        <w:t>incluse</w:t>
      </w:r>
      <w:proofErr w:type="spellEnd"/>
      <w:r w:rsidRPr="00291C72">
        <w:t xml:space="preserve">, </w:t>
      </w:r>
      <w:proofErr w:type="spellStart"/>
      <w:r>
        <w:t>beneficiarii</w:t>
      </w:r>
      <w:proofErr w:type="spellEnd"/>
      <w:r w:rsidRPr="00291C72">
        <w:t xml:space="preserve"> </w:t>
      </w:r>
      <w:proofErr w:type="spellStart"/>
      <w:r w:rsidRPr="00291C72">
        <w:t>eligibili</w:t>
      </w:r>
      <w:proofErr w:type="spellEnd"/>
      <w:r w:rsidRPr="00291C72">
        <w:t>.</w:t>
      </w:r>
    </w:p>
    <w:p w:rsidR="006C0AD8" w:rsidRPr="006C0AD8" w:rsidRDefault="006C0AD8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F2C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rFonts w:ascii="Trebuchet MS" w:hAnsi="Trebuchet MS" w:cs="Trebuchet MS"/>
        <w:noProof/>
        <w:sz w:val="8"/>
        <w:lang w:val="en-GB" w:eastAsia="en-GB"/>
      </w:rPr>
      <w:drawing>
        <wp:inline distT="0" distB="0" distL="0" distR="0">
          <wp:extent cx="7020560" cy="1088872"/>
          <wp:effectExtent l="0" t="0" r="0" b="0"/>
          <wp:docPr id="1" name="Picture 6" descr="C:\Users\dontuc.MIE\Dropbox\DRU_share\Untitled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tuc.MIE\Dropbox\DRU_share\Untitled-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108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F00"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1318260</wp:posOffset>
              </wp:positionH>
              <wp:positionV relativeFrom="paragraph">
                <wp:posOffset>1003299</wp:posOffset>
              </wp:positionV>
              <wp:extent cx="57010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B6C15" id="Straight Connector 5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    </w:pict>
        </mc:Fallback>
      </mc:AlternateContent>
    </w:r>
  </w:p>
  <w:p w:rsidR="0043586D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  <w:p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2BF"/>
    <w:multiLevelType w:val="hybridMultilevel"/>
    <w:tmpl w:val="EC866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4B96"/>
    <w:rsid w:val="0002072B"/>
    <w:rsid w:val="00021F3C"/>
    <w:rsid w:val="000413DC"/>
    <w:rsid w:val="00052C7D"/>
    <w:rsid w:val="00055399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E2257"/>
    <w:rsid w:val="000F4B57"/>
    <w:rsid w:val="00100F36"/>
    <w:rsid w:val="00114E85"/>
    <w:rsid w:val="00124F8F"/>
    <w:rsid w:val="00135885"/>
    <w:rsid w:val="00183DA3"/>
    <w:rsid w:val="001B60FF"/>
    <w:rsid w:val="001B7A4E"/>
    <w:rsid w:val="001C2F10"/>
    <w:rsid w:val="001C3A9B"/>
    <w:rsid w:val="001D1F72"/>
    <w:rsid w:val="001E4E12"/>
    <w:rsid w:val="001E52BD"/>
    <w:rsid w:val="001F4646"/>
    <w:rsid w:val="00204E9E"/>
    <w:rsid w:val="00207B1A"/>
    <w:rsid w:val="00233CCB"/>
    <w:rsid w:val="002419ED"/>
    <w:rsid w:val="00251729"/>
    <w:rsid w:val="0025631A"/>
    <w:rsid w:val="0026517C"/>
    <w:rsid w:val="00271C58"/>
    <w:rsid w:val="00277CA3"/>
    <w:rsid w:val="00284BA0"/>
    <w:rsid w:val="00285865"/>
    <w:rsid w:val="002A1D46"/>
    <w:rsid w:val="002A2E7C"/>
    <w:rsid w:val="002A52F0"/>
    <w:rsid w:val="002A5742"/>
    <w:rsid w:val="002E2D1B"/>
    <w:rsid w:val="002E39E9"/>
    <w:rsid w:val="002F0D3A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6443"/>
    <w:rsid w:val="004B4AE8"/>
    <w:rsid w:val="004D1214"/>
    <w:rsid w:val="004D4465"/>
    <w:rsid w:val="004E6022"/>
    <w:rsid w:val="004E6152"/>
    <w:rsid w:val="0051153E"/>
    <w:rsid w:val="00514F38"/>
    <w:rsid w:val="00526EE6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48E5"/>
    <w:rsid w:val="00567BAD"/>
    <w:rsid w:val="00574606"/>
    <w:rsid w:val="005757A7"/>
    <w:rsid w:val="00575E54"/>
    <w:rsid w:val="00591E2C"/>
    <w:rsid w:val="00597704"/>
    <w:rsid w:val="005A1732"/>
    <w:rsid w:val="005A7DA7"/>
    <w:rsid w:val="005C12ED"/>
    <w:rsid w:val="005E6FFA"/>
    <w:rsid w:val="005F4C5D"/>
    <w:rsid w:val="00603B14"/>
    <w:rsid w:val="00607E2F"/>
    <w:rsid w:val="006232E2"/>
    <w:rsid w:val="00651B21"/>
    <w:rsid w:val="00654078"/>
    <w:rsid w:val="006708A8"/>
    <w:rsid w:val="006731B0"/>
    <w:rsid w:val="00687998"/>
    <w:rsid w:val="00694DD1"/>
    <w:rsid w:val="006B0E10"/>
    <w:rsid w:val="006B6A4F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3BEF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6A53"/>
    <w:rsid w:val="0084721F"/>
    <w:rsid w:val="00856F80"/>
    <w:rsid w:val="00891F8C"/>
    <w:rsid w:val="00895ECA"/>
    <w:rsid w:val="008A2AC0"/>
    <w:rsid w:val="008A3EEA"/>
    <w:rsid w:val="008B0977"/>
    <w:rsid w:val="008C761C"/>
    <w:rsid w:val="008E035E"/>
    <w:rsid w:val="008F30AB"/>
    <w:rsid w:val="008F7F00"/>
    <w:rsid w:val="00902BFA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506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4622A"/>
    <w:rsid w:val="00A52D56"/>
    <w:rsid w:val="00A65600"/>
    <w:rsid w:val="00A702C8"/>
    <w:rsid w:val="00A744DA"/>
    <w:rsid w:val="00AA4FE5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AE6C69"/>
    <w:rsid w:val="00B13BB4"/>
    <w:rsid w:val="00B1658C"/>
    <w:rsid w:val="00B23050"/>
    <w:rsid w:val="00B33B00"/>
    <w:rsid w:val="00B6244A"/>
    <w:rsid w:val="00B62DAD"/>
    <w:rsid w:val="00B633AC"/>
    <w:rsid w:val="00B6368C"/>
    <w:rsid w:val="00B72D6B"/>
    <w:rsid w:val="00B73F5D"/>
    <w:rsid w:val="00B9493F"/>
    <w:rsid w:val="00BA48CB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35B75"/>
    <w:rsid w:val="00C50530"/>
    <w:rsid w:val="00C665CD"/>
    <w:rsid w:val="00C80850"/>
    <w:rsid w:val="00C9359A"/>
    <w:rsid w:val="00C9792F"/>
    <w:rsid w:val="00CA017A"/>
    <w:rsid w:val="00CA1AAA"/>
    <w:rsid w:val="00CC10B4"/>
    <w:rsid w:val="00CD0C6C"/>
    <w:rsid w:val="00CD0F06"/>
    <w:rsid w:val="00CD374E"/>
    <w:rsid w:val="00CD4DA6"/>
    <w:rsid w:val="00CD5B3B"/>
    <w:rsid w:val="00CF5801"/>
    <w:rsid w:val="00D02F50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485F"/>
    <w:rsid w:val="00D74CB2"/>
    <w:rsid w:val="00D75940"/>
    <w:rsid w:val="00D844F6"/>
    <w:rsid w:val="00D9646A"/>
    <w:rsid w:val="00DB0113"/>
    <w:rsid w:val="00DC1DC1"/>
    <w:rsid w:val="00DC1FEC"/>
    <w:rsid w:val="00DC2037"/>
    <w:rsid w:val="00DD246D"/>
    <w:rsid w:val="00DE15FC"/>
    <w:rsid w:val="00DF17C4"/>
    <w:rsid w:val="00DF20CC"/>
    <w:rsid w:val="00DF6F10"/>
    <w:rsid w:val="00E02F98"/>
    <w:rsid w:val="00E037CD"/>
    <w:rsid w:val="00E05AAD"/>
    <w:rsid w:val="00E05DC5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A2BA2"/>
    <w:rsid w:val="00ED6754"/>
    <w:rsid w:val="00EE59D8"/>
    <w:rsid w:val="00F2255D"/>
    <w:rsid w:val="00F23D6B"/>
    <w:rsid w:val="00F26F65"/>
    <w:rsid w:val="00F30D03"/>
    <w:rsid w:val="00F508E4"/>
    <w:rsid w:val="00F67550"/>
    <w:rsid w:val="00F71807"/>
    <w:rsid w:val="00FA4C35"/>
    <w:rsid w:val="00FB1D04"/>
    <w:rsid w:val="00FB6D27"/>
    <w:rsid w:val="00FB7C26"/>
    <w:rsid w:val="00FC4284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CEAD-9E89-40C2-8939-5CCE3676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steluta.bulaceanu</cp:lastModifiedBy>
  <cp:revision>13</cp:revision>
  <cp:lastPrinted>2017-04-14T10:45:00Z</cp:lastPrinted>
  <dcterms:created xsi:type="dcterms:W3CDTF">2017-09-29T09:26:00Z</dcterms:created>
  <dcterms:modified xsi:type="dcterms:W3CDTF">2017-09-29T09:43:00Z</dcterms:modified>
</cp:coreProperties>
</file>