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719" w:rsidRPr="00F736AB" w:rsidRDefault="00A31719" w:rsidP="006B6308">
      <w:pPr>
        <w:pStyle w:val="Subtitle"/>
        <w:jc w:val="center"/>
        <w:rPr>
          <w:rFonts w:ascii="Times New Roman" w:hAnsi="Times New Roman"/>
          <w:b/>
          <w:i w:val="0"/>
          <w:color w:val="0070C0"/>
          <w:sz w:val="32"/>
          <w:szCs w:val="32"/>
          <w:lang w:val="ro-RO"/>
        </w:rPr>
      </w:pPr>
      <w:bookmarkStart w:id="0" w:name="_GoBack"/>
      <w:bookmarkEnd w:id="0"/>
      <w:r w:rsidRPr="00F736AB">
        <w:rPr>
          <w:rFonts w:ascii="Times New Roman" w:hAnsi="Times New Roman"/>
          <w:b/>
          <w:i w:val="0"/>
          <w:color w:val="0070C0"/>
          <w:sz w:val="32"/>
          <w:szCs w:val="32"/>
          <w:lang w:val="ro-RO"/>
        </w:rPr>
        <w:t>RAPORT ANUAL DE IMPLEMENTARE 201</w:t>
      </w:r>
      <w:r w:rsidR="004A1EE4" w:rsidRPr="00F736AB">
        <w:rPr>
          <w:rFonts w:ascii="Times New Roman" w:hAnsi="Times New Roman"/>
          <w:b/>
          <w:i w:val="0"/>
          <w:color w:val="0070C0"/>
          <w:sz w:val="32"/>
          <w:szCs w:val="32"/>
          <w:lang w:val="ro-RO"/>
        </w:rPr>
        <w:t>6</w:t>
      </w:r>
    </w:p>
    <w:p w:rsidR="00C5351E" w:rsidRPr="00F736AB" w:rsidRDefault="00C5351E" w:rsidP="006B6308">
      <w:pPr>
        <w:pStyle w:val="Subtitle"/>
        <w:jc w:val="center"/>
        <w:rPr>
          <w:rFonts w:ascii="Times New Roman" w:hAnsi="Times New Roman"/>
          <w:b/>
          <w:color w:val="0070C0"/>
          <w:sz w:val="32"/>
          <w:szCs w:val="32"/>
          <w:lang w:val="ro-RO"/>
        </w:rPr>
      </w:pPr>
      <w:r w:rsidRPr="00F736AB">
        <w:rPr>
          <w:rFonts w:ascii="Times New Roman" w:hAnsi="Times New Roman"/>
          <w:b/>
          <w:i w:val="0"/>
          <w:color w:val="0070C0"/>
          <w:sz w:val="32"/>
          <w:szCs w:val="32"/>
          <w:lang w:val="ro-RO"/>
        </w:rPr>
        <w:t xml:space="preserve">REZUMAT </w:t>
      </w:r>
      <w:r w:rsidR="00A31719" w:rsidRPr="00F736AB">
        <w:rPr>
          <w:rFonts w:ascii="Times New Roman" w:hAnsi="Times New Roman"/>
          <w:b/>
          <w:i w:val="0"/>
          <w:color w:val="0070C0"/>
          <w:sz w:val="32"/>
          <w:szCs w:val="32"/>
          <w:lang w:val="ro-RO"/>
        </w:rPr>
        <w:t>PENTRU CETĂȚENI</w:t>
      </w:r>
    </w:p>
    <w:p w:rsidR="006B6308" w:rsidRPr="00F736AB" w:rsidRDefault="006B6308" w:rsidP="006B6308">
      <w:pPr>
        <w:pStyle w:val="Subtitle"/>
        <w:rPr>
          <w:rFonts w:ascii="Times New Roman" w:hAnsi="Times New Roman"/>
          <w:b/>
          <w:color w:val="0070C0"/>
          <w:lang w:val="ro-RO"/>
        </w:rPr>
      </w:pPr>
    </w:p>
    <w:p w:rsidR="006104EE" w:rsidRPr="00F736AB" w:rsidRDefault="006B6308" w:rsidP="006B6308">
      <w:pPr>
        <w:pStyle w:val="Subtitle"/>
        <w:rPr>
          <w:rFonts w:ascii="Times New Roman" w:hAnsi="Times New Roman"/>
          <w:color w:val="17365D"/>
          <w:lang w:val="ro-RO"/>
        </w:rPr>
      </w:pPr>
      <w:r w:rsidRPr="00F736AB">
        <w:rPr>
          <w:rFonts w:ascii="Times New Roman" w:hAnsi="Times New Roman"/>
          <w:b/>
          <w:color w:val="0070C0"/>
          <w:lang w:val="ro-RO"/>
        </w:rPr>
        <w:t>Context</w:t>
      </w:r>
      <w:r w:rsidRPr="00F736AB">
        <w:rPr>
          <w:rFonts w:ascii="Times New Roman" w:hAnsi="Times New Roman"/>
          <w:b/>
          <w:color w:val="17365D"/>
          <w:lang w:val="ro-RO"/>
        </w:rPr>
        <w:t xml:space="preserve"> </w:t>
      </w:r>
      <w:r w:rsidRPr="00F736AB">
        <w:rPr>
          <w:rFonts w:ascii="Times New Roman" w:hAnsi="Times New Roman"/>
          <w:b/>
          <w:color w:val="0070C0"/>
          <w:lang w:val="ro-RO"/>
        </w:rPr>
        <w:t>general</w:t>
      </w:r>
    </w:p>
    <w:p w:rsidR="00C5351E" w:rsidRPr="00F736AB" w:rsidRDefault="00C5351E" w:rsidP="00C5351E">
      <w:pPr>
        <w:shd w:val="clear" w:color="auto" w:fill="FFFFFF"/>
        <w:spacing w:before="100" w:beforeAutospacing="1" w:after="100" w:afterAutospacing="1"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t xml:space="preserve">Programul Operațional Capacitate Administrativă 2014 – 2020 (POCA) a fost aprobat </w:t>
      </w:r>
      <w:r w:rsidR="0009420A" w:rsidRPr="00F736AB">
        <w:rPr>
          <w:rFonts w:ascii="Times New Roman" w:eastAsia="Times New Roman" w:hAnsi="Times New Roman"/>
          <w:color w:val="17365D" w:themeColor="text2" w:themeShade="BF"/>
          <w:sz w:val="24"/>
          <w:szCs w:val="24"/>
          <w:lang w:val="ro-RO" w:eastAsia="en-GB"/>
        </w:rPr>
        <w:t>de</w:t>
      </w:r>
      <w:r w:rsidRPr="00F736AB">
        <w:rPr>
          <w:rFonts w:ascii="Times New Roman" w:eastAsia="Times New Roman" w:hAnsi="Times New Roman"/>
          <w:color w:val="17365D" w:themeColor="text2" w:themeShade="BF"/>
          <w:sz w:val="24"/>
          <w:szCs w:val="24"/>
          <w:lang w:val="ro-RO" w:eastAsia="en-GB"/>
        </w:rPr>
        <w:t xml:space="preserve"> </w:t>
      </w:r>
      <w:r w:rsidR="005E58E9" w:rsidRPr="00F736AB">
        <w:rPr>
          <w:rFonts w:ascii="Times New Roman" w:eastAsia="Times New Roman" w:hAnsi="Times New Roman"/>
          <w:color w:val="17365D" w:themeColor="text2" w:themeShade="BF"/>
          <w:sz w:val="24"/>
          <w:szCs w:val="24"/>
          <w:lang w:val="ro-RO" w:eastAsia="en-GB"/>
        </w:rPr>
        <w:t>Comisi</w:t>
      </w:r>
      <w:r w:rsidR="0009420A" w:rsidRPr="00F736AB">
        <w:rPr>
          <w:rFonts w:ascii="Times New Roman" w:eastAsia="Times New Roman" w:hAnsi="Times New Roman"/>
          <w:color w:val="17365D" w:themeColor="text2" w:themeShade="BF"/>
          <w:sz w:val="24"/>
          <w:szCs w:val="24"/>
          <w:lang w:val="ro-RO" w:eastAsia="en-GB"/>
        </w:rPr>
        <w:t>a</w:t>
      </w:r>
      <w:r w:rsidR="005E58E9" w:rsidRPr="00F736AB">
        <w:rPr>
          <w:rFonts w:ascii="Times New Roman" w:eastAsia="Times New Roman" w:hAnsi="Times New Roman"/>
          <w:color w:val="17365D" w:themeColor="text2" w:themeShade="BF"/>
          <w:sz w:val="24"/>
          <w:szCs w:val="24"/>
          <w:lang w:val="ro-RO" w:eastAsia="en-GB"/>
        </w:rPr>
        <w:t xml:space="preserve"> Europe</w:t>
      </w:r>
      <w:r w:rsidR="0009420A" w:rsidRPr="00F736AB">
        <w:rPr>
          <w:rFonts w:ascii="Times New Roman" w:eastAsia="Times New Roman" w:hAnsi="Times New Roman"/>
          <w:color w:val="17365D" w:themeColor="text2" w:themeShade="BF"/>
          <w:sz w:val="24"/>
          <w:szCs w:val="24"/>
          <w:lang w:val="ro-RO" w:eastAsia="en-GB"/>
        </w:rPr>
        <w:t>a</w:t>
      </w:r>
      <w:r w:rsidR="005E58E9" w:rsidRPr="00F736AB">
        <w:rPr>
          <w:rFonts w:ascii="Times New Roman" w:eastAsia="Times New Roman" w:hAnsi="Times New Roman"/>
          <w:color w:val="17365D" w:themeColor="text2" w:themeShade="BF"/>
          <w:sz w:val="24"/>
          <w:szCs w:val="24"/>
          <w:lang w:val="ro-RO" w:eastAsia="en-GB"/>
        </w:rPr>
        <w:t>n</w:t>
      </w:r>
      <w:r w:rsidR="0009420A" w:rsidRPr="00F736AB">
        <w:rPr>
          <w:rFonts w:ascii="Times New Roman" w:eastAsia="Times New Roman" w:hAnsi="Times New Roman"/>
          <w:color w:val="17365D" w:themeColor="text2" w:themeShade="BF"/>
          <w:sz w:val="24"/>
          <w:szCs w:val="24"/>
          <w:lang w:val="ro-RO" w:eastAsia="en-GB"/>
        </w:rPr>
        <w:t xml:space="preserve">ă în </w:t>
      </w:r>
      <w:r w:rsidRPr="00F736AB">
        <w:rPr>
          <w:rFonts w:ascii="Times New Roman" w:eastAsia="Times New Roman" w:hAnsi="Times New Roman"/>
          <w:color w:val="17365D" w:themeColor="text2" w:themeShade="BF"/>
          <w:sz w:val="24"/>
          <w:szCs w:val="24"/>
          <w:lang w:val="ro-RO" w:eastAsia="en-GB"/>
        </w:rPr>
        <w:t>data de 25.02.2015</w:t>
      </w:r>
      <w:r w:rsidR="005E58E9" w:rsidRPr="00F736AB">
        <w:rPr>
          <w:rFonts w:ascii="Times New Roman" w:eastAsia="Times New Roman" w:hAnsi="Times New Roman"/>
          <w:color w:val="17365D" w:themeColor="text2" w:themeShade="BF"/>
          <w:sz w:val="24"/>
          <w:szCs w:val="24"/>
          <w:lang w:val="ro-RO" w:eastAsia="en-GB"/>
        </w:rPr>
        <w:t xml:space="preserve"> și modificat </w:t>
      </w:r>
      <w:r w:rsidR="0009420A" w:rsidRPr="00F736AB">
        <w:rPr>
          <w:rFonts w:ascii="Times New Roman" w:eastAsia="Times New Roman" w:hAnsi="Times New Roman"/>
          <w:color w:val="17365D" w:themeColor="text2" w:themeShade="BF"/>
          <w:sz w:val="24"/>
          <w:szCs w:val="24"/>
          <w:lang w:val="ro-RO" w:eastAsia="en-GB"/>
        </w:rPr>
        <w:t xml:space="preserve">în </w:t>
      </w:r>
      <w:r w:rsidR="005E58E9" w:rsidRPr="00F736AB">
        <w:rPr>
          <w:rFonts w:ascii="Times New Roman" w:eastAsia="Times New Roman" w:hAnsi="Times New Roman"/>
          <w:color w:val="17365D" w:themeColor="text2" w:themeShade="BF"/>
          <w:sz w:val="24"/>
          <w:szCs w:val="24"/>
          <w:lang w:val="ro-RO" w:eastAsia="en-GB"/>
        </w:rPr>
        <w:t>data de 29.03.2017</w:t>
      </w:r>
      <w:r w:rsidRPr="00F736AB">
        <w:rPr>
          <w:rFonts w:ascii="Times New Roman" w:eastAsia="Times New Roman" w:hAnsi="Times New Roman"/>
          <w:color w:val="17365D" w:themeColor="text2" w:themeShade="BF"/>
          <w:sz w:val="24"/>
          <w:szCs w:val="24"/>
          <w:lang w:val="ro-RO" w:eastAsia="en-GB"/>
        </w:rPr>
        <w:t>.</w:t>
      </w:r>
    </w:p>
    <w:p w:rsidR="0028662D" w:rsidRPr="00F736AB" w:rsidRDefault="00476735" w:rsidP="00093C27">
      <w:pPr>
        <w:shd w:val="clear" w:color="auto" w:fill="FFFFFF"/>
        <w:spacing w:before="100" w:beforeAutospacing="1" w:after="100" w:afterAutospacing="1"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t>Suma alocată pentru program este de 55</w:t>
      </w:r>
      <w:r w:rsidR="00A31719" w:rsidRPr="00F736AB">
        <w:rPr>
          <w:rFonts w:ascii="Times New Roman" w:eastAsia="Times New Roman" w:hAnsi="Times New Roman"/>
          <w:color w:val="17365D" w:themeColor="text2" w:themeShade="BF"/>
          <w:sz w:val="24"/>
          <w:szCs w:val="24"/>
          <w:lang w:val="ro-RO" w:eastAsia="en-GB"/>
        </w:rPr>
        <w:t xml:space="preserve">3,19 mil. euro </w:t>
      </w:r>
      <w:r w:rsidR="007D31B6" w:rsidRPr="00F736AB">
        <w:rPr>
          <w:rFonts w:ascii="Times New Roman" w:eastAsia="Times New Roman" w:hAnsi="Times New Roman"/>
          <w:color w:val="17365D" w:themeColor="text2" w:themeShade="BF"/>
          <w:sz w:val="24"/>
          <w:szCs w:val="24"/>
          <w:lang w:val="ro-RO" w:eastAsia="en-GB"/>
        </w:rPr>
        <w:t xml:space="preserve">din </w:t>
      </w:r>
      <w:r w:rsidR="00A31719" w:rsidRPr="00F736AB">
        <w:rPr>
          <w:rFonts w:ascii="Times New Roman" w:eastAsia="Times New Roman" w:hAnsi="Times New Roman"/>
          <w:color w:val="17365D" w:themeColor="text2" w:themeShade="BF"/>
          <w:sz w:val="24"/>
          <w:szCs w:val="24"/>
          <w:lang w:val="ro-RO" w:eastAsia="en-GB"/>
        </w:rPr>
        <w:t>F</w:t>
      </w:r>
      <w:r w:rsidR="007D31B6" w:rsidRPr="00F736AB">
        <w:rPr>
          <w:rFonts w:ascii="Times New Roman" w:eastAsia="Times New Roman" w:hAnsi="Times New Roman"/>
          <w:color w:val="17365D" w:themeColor="text2" w:themeShade="BF"/>
          <w:sz w:val="24"/>
          <w:szCs w:val="24"/>
          <w:lang w:val="ro-RO" w:eastAsia="en-GB"/>
        </w:rPr>
        <w:t xml:space="preserve">ondul </w:t>
      </w:r>
      <w:r w:rsidR="00A31719" w:rsidRPr="00F736AB">
        <w:rPr>
          <w:rFonts w:ascii="Times New Roman" w:eastAsia="Times New Roman" w:hAnsi="Times New Roman"/>
          <w:color w:val="17365D" w:themeColor="text2" w:themeShade="BF"/>
          <w:sz w:val="24"/>
          <w:szCs w:val="24"/>
          <w:lang w:val="ro-RO" w:eastAsia="en-GB"/>
        </w:rPr>
        <w:t>S</w:t>
      </w:r>
      <w:r w:rsidR="007D31B6" w:rsidRPr="00F736AB">
        <w:rPr>
          <w:rFonts w:ascii="Times New Roman" w:eastAsia="Times New Roman" w:hAnsi="Times New Roman"/>
          <w:color w:val="17365D" w:themeColor="text2" w:themeShade="BF"/>
          <w:sz w:val="24"/>
          <w:szCs w:val="24"/>
          <w:lang w:val="ro-RO" w:eastAsia="en-GB"/>
        </w:rPr>
        <w:t xml:space="preserve">ocial </w:t>
      </w:r>
      <w:r w:rsidR="00A31719" w:rsidRPr="00F736AB">
        <w:rPr>
          <w:rFonts w:ascii="Times New Roman" w:eastAsia="Times New Roman" w:hAnsi="Times New Roman"/>
          <w:color w:val="17365D" w:themeColor="text2" w:themeShade="BF"/>
          <w:sz w:val="24"/>
          <w:szCs w:val="24"/>
          <w:lang w:val="ro-RO" w:eastAsia="en-GB"/>
        </w:rPr>
        <w:t>E</w:t>
      </w:r>
      <w:r w:rsidR="007D31B6" w:rsidRPr="00F736AB">
        <w:rPr>
          <w:rFonts w:ascii="Times New Roman" w:eastAsia="Times New Roman" w:hAnsi="Times New Roman"/>
          <w:color w:val="17365D" w:themeColor="text2" w:themeShade="BF"/>
          <w:sz w:val="24"/>
          <w:szCs w:val="24"/>
          <w:lang w:val="ro-RO" w:eastAsia="en-GB"/>
        </w:rPr>
        <w:t>uropean (FSE)</w:t>
      </w:r>
      <w:r w:rsidR="00A31719" w:rsidRPr="00F736AB">
        <w:rPr>
          <w:rFonts w:ascii="Times New Roman" w:eastAsia="Times New Roman" w:hAnsi="Times New Roman"/>
          <w:color w:val="17365D" w:themeColor="text2" w:themeShade="BF"/>
          <w:sz w:val="24"/>
          <w:szCs w:val="24"/>
          <w:lang w:val="ro-RO" w:eastAsia="en-GB"/>
        </w:rPr>
        <w:t>, din care PO</w:t>
      </w:r>
      <w:r w:rsidRPr="00F736AB">
        <w:rPr>
          <w:rFonts w:ascii="Times New Roman" w:eastAsia="Times New Roman" w:hAnsi="Times New Roman"/>
          <w:color w:val="17365D" w:themeColor="text2" w:themeShade="BF"/>
          <w:sz w:val="24"/>
          <w:szCs w:val="24"/>
          <w:lang w:val="ro-RO" w:eastAsia="en-GB"/>
        </w:rPr>
        <w:t>CA va finanța intervenții în cadrul a 3 axe prioritare</w:t>
      </w:r>
      <w:r w:rsidR="00093C27" w:rsidRPr="00F736AB">
        <w:rPr>
          <w:rFonts w:ascii="Times New Roman" w:eastAsia="Times New Roman" w:hAnsi="Times New Roman"/>
          <w:color w:val="17365D" w:themeColor="text2" w:themeShade="BF"/>
          <w:sz w:val="24"/>
          <w:szCs w:val="24"/>
          <w:lang w:val="ro-RO" w:eastAsia="en-GB"/>
        </w:rPr>
        <w:t xml:space="preserve">. Detalii despre program regăsiți la adresa: </w:t>
      </w:r>
      <w:hyperlink r:id="rId8" w:history="1">
        <w:r w:rsidR="00093C27" w:rsidRPr="00F736AB">
          <w:rPr>
            <w:rStyle w:val="Hyperlink"/>
            <w:rFonts w:ascii="Times New Roman" w:eastAsia="Times New Roman" w:hAnsi="Times New Roman"/>
            <w:sz w:val="24"/>
            <w:szCs w:val="24"/>
            <w:lang w:val="ro-RO" w:eastAsia="en-GB"/>
          </w:rPr>
          <w:t>http://poca.ro/cadru-strategic/prezentare-poca-2014-2020/</w:t>
        </w:r>
      </w:hyperlink>
      <w:r w:rsidR="00093C27" w:rsidRPr="00F736AB">
        <w:rPr>
          <w:rFonts w:ascii="Times New Roman" w:eastAsia="Times New Roman" w:hAnsi="Times New Roman"/>
          <w:color w:val="17365D" w:themeColor="text2" w:themeShade="BF"/>
          <w:sz w:val="24"/>
          <w:szCs w:val="24"/>
          <w:lang w:val="ro-RO" w:eastAsia="en-GB"/>
        </w:rPr>
        <w:t xml:space="preserve"> </w:t>
      </w:r>
    </w:p>
    <w:p w:rsidR="00CA5F5B" w:rsidRPr="00F736AB" w:rsidRDefault="00CA5F5B" w:rsidP="00093C27">
      <w:pPr>
        <w:shd w:val="clear" w:color="auto" w:fill="FFFFFF"/>
        <w:spacing w:before="100" w:beforeAutospacing="1" w:after="100" w:afterAutospacing="1"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t xml:space="preserve">Programul sprijină în principal măsuri din </w:t>
      </w:r>
      <w:hyperlink r:id="rId9" w:history="1">
        <w:r w:rsidRPr="00F736AB">
          <w:rPr>
            <w:rStyle w:val="Hyperlink"/>
            <w:rFonts w:ascii="Times New Roman" w:eastAsia="Times New Roman" w:hAnsi="Times New Roman"/>
            <w:sz w:val="24"/>
            <w:szCs w:val="24"/>
            <w:lang w:val="ro-RO" w:eastAsia="en-GB"/>
          </w:rPr>
          <w:t>Strategia pentru Consolidarea Administrației publice 2014-2020</w:t>
        </w:r>
      </w:hyperlink>
      <w:r w:rsidRPr="00F736AB">
        <w:rPr>
          <w:rFonts w:ascii="Times New Roman" w:eastAsia="Times New Roman" w:hAnsi="Times New Roman"/>
          <w:color w:val="17365D" w:themeColor="text2" w:themeShade="BF"/>
          <w:sz w:val="24"/>
          <w:szCs w:val="24"/>
          <w:lang w:val="ro-RO" w:eastAsia="en-GB"/>
        </w:rPr>
        <w:t xml:space="preserve">. Dar în anumite domenii specifice, precum sistem judiciar sau măsuri anticorupție alte strategii orientează finanțare din program, respectiv </w:t>
      </w:r>
      <w:hyperlink r:id="rId10" w:history="1">
        <w:r w:rsidRPr="00F736AB">
          <w:rPr>
            <w:rStyle w:val="Hyperlink"/>
            <w:rFonts w:ascii="Times New Roman" w:eastAsia="Times New Roman" w:hAnsi="Times New Roman"/>
            <w:sz w:val="24"/>
            <w:szCs w:val="24"/>
            <w:lang w:val="ro-RO" w:eastAsia="en-GB"/>
          </w:rPr>
          <w:t>Strategia de Dezvoltare a Sistemului Judiciar 2014-2020</w:t>
        </w:r>
      </w:hyperlink>
      <w:r w:rsidRPr="00F736AB">
        <w:rPr>
          <w:rFonts w:ascii="Times New Roman" w:eastAsia="Times New Roman" w:hAnsi="Times New Roman"/>
          <w:color w:val="17365D" w:themeColor="text2" w:themeShade="BF"/>
          <w:sz w:val="24"/>
          <w:szCs w:val="24"/>
          <w:lang w:val="ro-RO" w:eastAsia="en-GB"/>
        </w:rPr>
        <w:t xml:space="preserve"> și </w:t>
      </w:r>
      <w:hyperlink r:id="rId11" w:history="1">
        <w:r w:rsidRPr="00F736AB">
          <w:rPr>
            <w:rStyle w:val="Hyperlink"/>
            <w:rFonts w:ascii="Times New Roman" w:eastAsia="Times New Roman" w:hAnsi="Times New Roman"/>
            <w:sz w:val="24"/>
            <w:szCs w:val="24"/>
            <w:lang w:val="ro-RO" w:eastAsia="en-GB"/>
          </w:rPr>
          <w:t>Strategia Națională Anticorupție 2015-2020</w:t>
        </w:r>
      </w:hyperlink>
      <w:r w:rsidRPr="00F736AB">
        <w:rPr>
          <w:rFonts w:ascii="Times New Roman" w:eastAsia="Times New Roman" w:hAnsi="Times New Roman"/>
          <w:color w:val="17365D" w:themeColor="text2" w:themeShade="BF"/>
          <w:sz w:val="24"/>
          <w:szCs w:val="24"/>
          <w:lang w:val="ro-RO" w:eastAsia="en-GB"/>
        </w:rPr>
        <w:t xml:space="preserve">. În ceea ce privește măsurile de simplificare a procedurilor administrative aplicabile cetățenilor </w:t>
      </w:r>
      <w:r w:rsidR="008B6A42" w:rsidRPr="00F736AB">
        <w:rPr>
          <w:rFonts w:ascii="Times New Roman" w:eastAsia="Times New Roman" w:hAnsi="Times New Roman"/>
          <w:color w:val="17365D" w:themeColor="text2" w:themeShade="BF"/>
          <w:sz w:val="24"/>
          <w:szCs w:val="24"/>
          <w:lang w:val="ro-RO" w:eastAsia="en-GB"/>
        </w:rPr>
        <w:t>prioritățile sunt stabilite în</w:t>
      </w:r>
      <w:r w:rsidRPr="00F736AB">
        <w:rPr>
          <w:rFonts w:ascii="Times New Roman" w:eastAsia="Times New Roman" w:hAnsi="Times New Roman"/>
          <w:color w:val="17365D" w:themeColor="text2" w:themeShade="BF"/>
          <w:sz w:val="24"/>
          <w:szCs w:val="24"/>
          <w:lang w:val="ro-RO" w:eastAsia="en-GB"/>
        </w:rPr>
        <w:t xml:space="preserve"> </w:t>
      </w:r>
      <w:hyperlink r:id="rId12" w:history="1">
        <w:r w:rsidRPr="00F736AB">
          <w:rPr>
            <w:rStyle w:val="Hyperlink"/>
            <w:rFonts w:ascii="Times New Roman" w:eastAsia="Times New Roman" w:hAnsi="Times New Roman"/>
            <w:sz w:val="24"/>
            <w:szCs w:val="24"/>
            <w:lang w:val="ro-RO" w:eastAsia="en-GB"/>
          </w:rPr>
          <w:t>Plan</w:t>
        </w:r>
        <w:r w:rsidR="008B6A42" w:rsidRPr="00F736AB">
          <w:rPr>
            <w:rStyle w:val="Hyperlink"/>
            <w:rFonts w:ascii="Times New Roman" w:eastAsia="Times New Roman" w:hAnsi="Times New Roman"/>
            <w:sz w:val="24"/>
            <w:szCs w:val="24"/>
            <w:lang w:val="ro-RO" w:eastAsia="en-GB"/>
          </w:rPr>
          <w:t>ul</w:t>
        </w:r>
        <w:r w:rsidRPr="00F736AB">
          <w:rPr>
            <w:rStyle w:val="Hyperlink"/>
            <w:rFonts w:ascii="Times New Roman" w:eastAsia="Times New Roman" w:hAnsi="Times New Roman"/>
            <w:sz w:val="24"/>
            <w:szCs w:val="24"/>
            <w:lang w:val="ro-RO" w:eastAsia="en-GB"/>
          </w:rPr>
          <w:t xml:space="preserve"> integrat de simplificare</w:t>
        </w:r>
      </w:hyperlink>
      <w:r w:rsidRPr="00F736AB">
        <w:rPr>
          <w:rFonts w:ascii="Times New Roman" w:eastAsia="Times New Roman" w:hAnsi="Times New Roman"/>
          <w:color w:val="17365D" w:themeColor="text2" w:themeShade="BF"/>
          <w:sz w:val="24"/>
          <w:szCs w:val="24"/>
          <w:lang w:val="ro-RO" w:eastAsia="en-GB"/>
        </w:rPr>
        <w:t xml:space="preserve">, iar acțiunile de simplificare pentru mediul de afaceri în </w:t>
      </w:r>
      <w:hyperlink r:id="rId13" w:history="1">
        <w:r w:rsidRPr="00F736AB">
          <w:rPr>
            <w:rStyle w:val="Hyperlink"/>
            <w:rFonts w:ascii="Times New Roman" w:eastAsia="Times New Roman" w:hAnsi="Times New Roman"/>
            <w:sz w:val="24"/>
            <w:szCs w:val="24"/>
            <w:lang w:val="ro-RO" w:eastAsia="en-GB"/>
          </w:rPr>
          <w:t>Strategia privind Mai buna Reglementare 2014-2020</w:t>
        </w:r>
      </w:hyperlink>
      <w:r w:rsidRPr="00F736AB">
        <w:rPr>
          <w:rFonts w:ascii="Times New Roman" w:eastAsia="Times New Roman" w:hAnsi="Times New Roman"/>
          <w:color w:val="17365D" w:themeColor="text2" w:themeShade="BF"/>
          <w:sz w:val="24"/>
          <w:szCs w:val="24"/>
          <w:lang w:val="ro-RO" w:eastAsia="en-GB"/>
        </w:rPr>
        <w:t>. Programul, de asemenea, sprijină instituțiile publice să realiz</w:t>
      </w:r>
      <w:r w:rsidR="00BE098E" w:rsidRPr="00F736AB">
        <w:rPr>
          <w:rFonts w:ascii="Times New Roman" w:eastAsia="Times New Roman" w:hAnsi="Times New Roman"/>
          <w:color w:val="17365D" w:themeColor="text2" w:themeShade="BF"/>
          <w:sz w:val="24"/>
          <w:szCs w:val="24"/>
          <w:lang w:val="ro-RO" w:eastAsia="en-GB"/>
        </w:rPr>
        <w:t xml:space="preserve">eze anumite activități mai bine, de exemplu achizițiile publice, recrutarea și evaluare personalului, fundamentarea deciziilor. Și aceste activități se realizează în contextul unor </w:t>
      </w:r>
      <w:r w:rsidR="008B6A42" w:rsidRPr="00F736AB">
        <w:rPr>
          <w:rFonts w:ascii="Times New Roman" w:eastAsia="Times New Roman" w:hAnsi="Times New Roman"/>
          <w:color w:val="17365D" w:themeColor="text2" w:themeShade="BF"/>
          <w:sz w:val="24"/>
          <w:szCs w:val="24"/>
          <w:lang w:val="ro-RO" w:eastAsia="en-GB"/>
        </w:rPr>
        <w:t xml:space="preserve">alte </w:t>
      </w:r>
      <w:r w:rsidR="00BE098E" w:rsidRPr="00F736AB">
        <w:rPr>
          <w:rFonts w:ascii="Times New Roman" w:eastAsia="Times New Roman" w:hAnsi="Times New Roman"/>
          <w:color w:val="17365D" w:themeColor="text2" w:themeShade="BF"/>
          <w:sz w:val="24"/>
          <w:szCs w:val="24"/>
          <w:lang w:val="ro-RO" w:eastAsia="en-GB"/>
        </w:rPr>
        <w:t xml:space="preserve">strategii: </w:t>
      </w:r>
      <w:hyperlink r:id="rId14" w:history="1">
        <w:r w:rsidR="00BE098E" w:rsidRPr="00F736AB">
          <w:rPr>
            <w:rStyle w:val="Hyperlink"/>
            <w:rFonts w:ascii="Times New Roman" w:eastAsia="Times New Roman" w:hAnsi="Times New Roman"/>
            <w:sz w:val="24"/>
            <w:szCs w:val="24"/>
            <w:lang w:val="ro-RO" w:eastAsia="en-GB"/>
          </w:rPr>
          <w:t>Strategia națională în domeniul achizițiilor publice</w:t>
        </w:r>
      </w:hyperlink>
      <w:r w:rsidR="00BE098E" w:rsidRPr="00F736AB">
        <w:rPr>
          <w:rFonts w:ascii="Times New Roman" w:eastAsia="Times New Roman" w:hAnsi="Times New Roman"/>
          <w:color w:val="17365D" w:themeColor="text2" w:themeShade="BF"/>
          <w:sz w:val="24"/>
          <w:szCs w:val="24"/>
          <w:lang w:val="ro-RO" w:eastAsia="en-GB"/>
        </w:rPr>
        <w:t xml:space="preserve"> și </w:t>
      </w:r>
      <w:hyperlink r:id="rId15" w:history="1">
        <w:r w:rsidR="00BE098E" w:rsidRPr="00F736AB">
          <w:rPr>
            <w:rStyle w:val="Hyperlink"/>
            <w:rFonts w:ascii="Times New Roman" w:eastAsia="Times New Roman" w:hAnsi="Times New Roman"/>
            <w:sz w:val="24"/>
            <w:szCs w:val="24"/>
            <w:lang w:val="ro-RO" w:eastAsia="en-GB"/>
          </w:rPr>
          <w:t>Strategia pentru dezvoltarea funcției publice</w:t>
        </w:r>
      </w:hyperlink>
      <w:r w:rsidR="00BE098E" w:rsidRPr="00F736AB">
        <w:rPr>
          <w:rFonts w:ascii="Times New Roman" w:eastAsia="Times New Roman" w:hAnsi="Times New Roman"/>
          <w:color w:val="17365D" w:themeColor="text2" w:themeShade="BF"/>
          <w:sz w:val="24"/>
          <w:szCs w:val="24"/>
          <w:lang w:val="ro-RO" w:eastAsia="en-GB"/>
        </w:rPr>
        <w:t xml:space="preserve">. </w:t>
      </w:r>
      <w:r w:rsidRPr="00F736AB">
        <w:rPr>
          <w:rFonts w:ascii="Times New Roman" w:eastAsia="Times New Roman" w:hAnsi="Times New Roman"/>
          <w:color w:val="17365D" w:themeColor="text2" w:themeShade="BF"/>
          <w:sz w:val="24"/>
          <w:szCs w:val="24"/>
          <w:lang w:val="ro-RO" w:eastAsia="en-GB"/>
        </w:rPr>
        <w:t xml:space="preserve"> </w:t>
      </w:r>
    </w:p>
    <w:p w:rsidR="00276779" w:rsidRPr="00F736AB" w:rsidRDefault="00276779" w:rsidP="00093C27">
      <w:pPr>
        <w:shd w:val="clear" w:color="auto" w:fill="FFFFFF"/>
        <w:spacing w:before="100" w:beforeAutospacing="1" w:after="100" w:afterAutospacing="1"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t xml:space="preserve">În plus, în prima sa etapă, POCA a sprijinit </w:t>
      </w:r>
      <w:r w:rsidR="008B6A42" w:rsidRPr="00F736AB">
        <w:rPr>
          <w:rFonts w:ascii="Times New Roman" w:eastAsia="Times New Roman" w:hAnsi="Times New Roman"/>
          <w:color w:val="17365D" w:themeColor="text2" w:themeShade="BF"/>
          <w:sz w:val="24"/>
          <w:szCs w:val="24"/>
          <w:lang w:val="ro-RO" w:eastAsia="en-GB"/>
        </w:rPr>
        <w:t xml:space="preserve">și </w:t>
      </w:r>
      <w:r w:rsidRPr="00F736AB">
        <w:rPr>
          <w:rFonts w:ascii="Times New Roman" w:eastAsia="Times New Roman" w:hAnsi="Times New Roman"/>
          <w:color w:val="17365D" w:themeColor="text2" w:themeShade="BF"/>
          <w:sz w:val="24"/>
          <w:szCs w:val="24"/>
          <w:lang w:val="ro-RO" w:eastAsia="en-GB"/>
        </w:rPr>
        <w:t xml:space="preserve">instituțiile publice care trebuiau să realizeze </w:t>
      </w:r>
      <w:r w:rsidR="008B6A42" w:rsidRPr="00F736AB">
        <w:rPr>
          <w:rFonts w:ascii="Times New Roman" w:eastAsia="Times New Roman" w:hAnsi="Times New Roman"/>
          <w:color w:val="17365D" w:themeColor="text2" w:themeShade="BF"/>
          <w:sz w:val="24"/>
          <w:szCs w:val="24"/>
          <w:lang w:val="ro-RO" w:eastAsia="en-GB"/>
        </w:rPr>
        <w:t xml:space="preserve">anumite măsuri </w:t>
      </w:r>
      <w:r w:rsidR="00054AFE">
        <w:rPr>
          <w:rFonts w:ascii="Times New Roman" w:eastAsia="Times New Roman" w:hAnsi="Times New Roman"/>
          <w:color w:val="17365D" w:themeColor="text2" w:themeShade="BF"/>
          <w:sz w:val="24"/>
          <w:szCs w:val="24"/>
          <w:lang w:val="ro-RO" w:eastAsia="en-GB"/>
        </w:rPr>
        <w:t>astfel încât</w:t>
      </w:r>
      <w:r w:rsidR="008B6A42" w:rsidRPr="00F736AB">
        <w:rPr>
          <w:rFonts w:ascii="Times New Roman" w:eastAsia="Times New Roman" w:hAnsi="Times New Roman"/>
          <w:color w:val="17365D" w:themeColor="text2" w:themeShade="BF"/>
          <w:sz w:val="24"/>
          <w:szCs w:val="24"/>
          <w:lang w:val="ro-RO" w:eastAsia="en-GB"/>
        </w:rPr>
        <w:t xml:space="preserve"> fondurile europene în România, pentru anumite domenii (de ex. situații de urgență, evaluare impactului asupra mediului, planul de investiții pentru cercetare)</w:t>
      </w:r>
      <w:r w:rsidR="00054AFE">
        <w:rPr>
          <w:rFonts w:ascii="Times New Roman" w:eastAsia="Times New Roman" w:hAnsi="Times New Roman"/>
          <w:color w:val="17365D" w:themeColor="text2" w:themeShade="BF"/>
          <w:sz w:val="24"/>
          <w:szCs w:val="24"/>
          <w:lang w:val="ro-RO" w:eastAsia="en-GB"/>
        </w:rPr>
        <w:t>,</w:t>
      </w:r>
      <w:r w:rsidR="008B6A42" w:rsidRPr="00F736AB">
        <w:rPr>
          <w:rFonts w:ascii="Times New Roman" w:eastAsia="Times New Roman" w:hAnsi="Times New Roman"/>
          <w:color w:val="17365D" w:themeColor="text2" w:themeShade="BF"/>
          <w:sz w:val="24"/>
          <w:szCs w:val="24"/>
          <w:lang w:val="ro-RO" w:eastAsia="en-GB"/>
        </w:rPr>
        <w:t xml:space="preserve"> să poată fi folosite cât mai repede.</w:t>
      </w:r>
      <w:r w:rsidRPr="00F736AB">
        <w:rPr>
          <w:rFonts w:ascii="Times New Roman" w:eastAsia="Times New Roman" w:hAnsi="Times New Roman"/>
          <w:color w:val="17365D" w:themeColor="text2" w:themeShade="BF"/>
          <w:sz w:val="24"/>
          <w:szCs w:val="24"/>
          <w:lang w:val="ro-RO" w:eastAsia="en-GB"/>
        </w:rPr>
        <w:t xml:space="preserve"> </w:t>
      </w:r>
    </w:p>
    <w:p w:rsidR="006B6308" w:rsidRPr="00F736AB" w:rsidRDefault="00A31719" w:rsidP="0028662D">
      <w:pPr>
        <w:shd w:val="clear" w:color="auto" w:fill="FFFFFF"/>
        <w:spacing w:after="0" w:line="207" w:lineRule="atLeast"/>
        <w:jc w:val="both"/>
        <w:textAlignment w:val="bottom"/>
        <w:rPr>
          <w:rFonts w:ascii="Times New Roman" w:eastAsia="Times New Roman" w:hAnsi="Times New Roman"/>
          <w:b/>
          <w:i/>
          <w:color w:val="0070C0"/>
          <w:sz w:val="24"/>
          <w:szCs w:val="24"/>
          <w:lang w:val="ro-RO"/>
        </w:rPr>
      </w:pPr>
      <w:r w:rsidRPr="00F736AB">
        <w:rPr>
          <w:rFonts w:ascii="Times New Roman" w:eastAsia="Times New Roman" w:hAnsi="Times New Roman"/>
          <w:b/>
          <w:i/>
          <w:color w:val="0070C0"/>
          <w:sz w:val="24"/>
          <w:szCs w:val="24"/>
          <w:lang w:val="ro-RO"/>
        </w:rPr>
        <w:t>Despre i</w:t>
      </w:r>
      <w:r w:rsidR="006B6308" w:rsidRPr="00F736AB">
        <w:rPr>
          <w:rFonts w:ascii="Times New Roman" w:eastAsia="Times New Roman" w:hAnsi="Times New Roman"/>
          <w:b/>
          <w:i/>
          <w:color w:val="0070C0"/>
          <w:sz w:val="24"/>
          <w:szCs w:val="24"/>
          <w:lang w:val="ro-RO"/>
        </w:rPr>
        <w:t>mplementarea programului în 201</w:t>
      </w:r>
      <w:r w:rsidR="007D31B6" w:rsidRPr="00F736AB">
        <w:rPr>
          <w:rFonts w:ascii="Times New Roman" w:eastAsia="Times New Roman" w:hAnsi="Times New Roman"/>
          <w:b/>
          <w:i/>
          <w:color w:val="0070C0"/>
          <w:sz w:val="24"/>
          <w:szCs w:val="24"/>
          <w:lang w:val="ro-RO"/>
        </w:rPr>
        <w:t>6</w:t>
      </w:r>
    </w:p>
    <w:p w:rsidR="007D31B6" w:rsidRPr="00F736AB" w:rsidRDefault="007D31B6" w:rsidP="007D31B6">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p>
    <w:p w:rsidR="004C6962" w:rsidRPr="00F736AB" w:rsidRDefault="007D31B6" w:rsidP="007D31B6">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t>În anul 2016, activitatea Autorității de Management (AM) a continuat într-un ritm susținut</w:t>
      </w:r>
      <w:r w:rsidR="002451FD" w:rsidRPr="00F736AB">
        <w:rPr>
          <w:rFonts w:ascii="Times New Roman" w:eastAsia="Times New Roman" w:hAnsi="Times New Roman"/>
          <w:color w:val="17365D" w:themeColor="text2" w:themeShade="BF"/>
          <w:sz w:val="24"/>
          <w:szCs w:val="24"/>
          <w:lang w:val="ro-RO" w:eastAsia="en-GB"/>
        </w:rPr>
        <w:t xml:space="preserve">, fiind </w:t>
      </w:r>
      <w:r w:rsidR="004C6962" w:rsidRPr="00F736AB">
        <w:rPr>
          <w:rFonts w:ascii="Times New Roman" w:eastAsia="Times New Roman" w:hAnsi="Times New Roman"/>
          <w:color w:val="17365D" w:themeColor="text2" w:themeShade="BF"/>
          <w:sz w:val="24"/>
          <w:szCs w:val="24"/>
          <w:lang w:val="ro-RO" w:eastAsia="en-GB"/>
        </w:rPr>
        <w:t>deschise linii de finanțare pentru a sprijini:</w:t>
      </w:r>
    </w:p>
    <w:p w:rsidR="004C6962" w:rsidRPr="00F736AB" w:rsidRDefault="004C6962" w:rsidP="007D31B6">
      <w:pPr>
        <w:pStyle w:val="ListParagraph"/>
        <w:numPr>
          <w:ilvl w:val="0"/>
          <w:numId w:val="16"/>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t>ANAP</w:t>
      </w:r>
      <w:r w:rsidR="007D31B6" w:rsidRPr="00F736AB">
        <w:rPr>
          <w:rFonts w:ascii="Times New Roman" w:eastAsia="Times New Roman" w:hAnsi="Times New Roman"/>
          <w:color w:val="17365D" w:themeColor="text2" w:themeShade="BF"/>
          <w:sz w:val="24"/>
          <w:szCs w:val="24"/>
          <w:lang w:val="ro-RO" w:eastAsia="en-GB"/>
        </w:rPr>
        <w:t xml:space="preserve"> </w:t>
      </w:r>
      <w:r w:rsidRPr="00F736AB">
        <w:rPr>
          <w:rFonts w:ascii="Times New Roman" w:eastAsia="Times New Roman" w:hAnsi="Times New Roman"/>
          <w:color w:val="17365D" w:themeColor="text2" w:themeShade="BF"/>
          <w:sz w:val="24"/>
          <w:szCs w:val="24"/>
          <w:lang w:val="ro-RO" w:eastAsia="en-GB"/>
        </w:rPr>
        <w:t xml:space="preserve">pentru a elabora, printre altele 8 instrumente pentru a sprijini personalul implicat în achiziții publice și pentru a stabili un sistem de achiziții centralizat </w:t>
      </w:r>
    </w:p>
    <w:p w:rsidR="004C6962" w:rsidRPr="00F736AB" w:rsidRDefault="004C6962" w:rsidP="007D31B6">
      <w:pPr>
        <w:pStyle w:val="ListParagraph"/>
        <w:numPr>
          <w:ilvl w:val="0"/>
          <w:numId w:val="16"/>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t>Agenți</w:t>
      </w:r>
      <w:r w:rsidR="00EB0904" w:rsidRPr="00F736AB">
        <w:rPr>
          <w:rFonts w:ascii="Times New Roman" w:eastAsia="Times New Roman" w:hAnsi="Times New Roman"/>
          <w:color w:val="17365D" w:themeColor="text2" w:themeShade="BF"/>
          <w:sz w:val="24"/>
          <w:szCs w:val="24"/>
          <w:lang w:val="ro-RO" w:eastAsia="en-GB"/>
        </w:rPr>
        <w:t>a</w:t>
      </w:r>
      <w:r w:rsidRPr="00F736AB">
        <w:rPr>
          <w:rFonts w:ascii="Times New Roman" w:eastAsia="Times New Roman" w:hAnsi="Times New Roman"/>
          <w:color w:val="17365D" w:themeColor="text2" w:themeShade="BF"/>
          <w:sz w:val="24"/>
          <w:szCs w:val="24"/>
          <w:lang w:val="ro-RO" w:eastAsia="en-GB"/>
        </w:rPr>
        <w:t xml:space="preserve"> Național</w:t>
      </w:r>
      <w:r w:rsidR="00EB0904" w:rsidRPr="00F736AB">
        <w:rPr>
          <w:rFonts w:ascii="Times New Roman" w:eastAsia="Times New Roman" w:hAnsi="Times New Roman"/>
          <w:color w:val="17365D" w:themeColor="text2" w:themeShade="BF"/>
          <w:sz w:val="24"/>
          <w:szCs w:val="24"/>
          <w:lang w:val="ro-RO" w:eastAsia="en-GB"/>
        </w:rPr>
        <w:t>ă</w:t>
      </w:r>
      <w:r w:rsidRPr="00F736AB">
        <w:rPr>
          <w:rFonts w:ascii="Times New Roman" w:eastAsia="Times New Roman" w:hAnsi="Times New Roman"/>
          <w:color w:val="17365D" w:themeColor="text2" w:themeShade="BF"/>
          <w:sz w:val="24"/>
          <w:szCs w:val="24"/>
          <w:lang w:val="ro-RO" w:eastAsia="en-GB"/>
        </w:rPr>
        <w:t xml:space="preserve"> a Func</w:t>
      </w:r>
      <w:r w:rsidR="00EB0904" w:rsidRPr="00F736AB">
        <w:rPr>
          <w:rFonts w:ascii="Times New Roman" w:eastAsia="Times New Roman" w:hAnsi="Times New Roman"/>
          <w:color w:val="17365D" w:themeColor="text2" w:themeShade="BF"/>
          <w:sz w:val="24"/>
          <w:szCs w:val="24"/>
          <w:lang w:val="ro-RO" w:eastAsia="en-GB"/>
        </w:rPr>
        <w:t>ționarilor Publici, Ministerul</w:t>
      </w:r>
      <w:r w:rsidRPr="00F736AB">
        <w:rPr>
          <w:rFonts w:ascii="Times New Roman" w:eastAsia="Times New Roman" w:hAnsi="Times New Roman"/>
          <w:color w:val="17365D" w:themeColor="text2" w:themeShade="BF"/>
          <w:sz w:val="24"/>
          <w:szCs w:val="24"/>
          <w:lang w:val="ro-RO" w:eastAsia="en-GB"/>
        </w:rPr>
        <w:t xml:space="preserve"> Muncii și Justiției Sociale și </w:t>
      </w:r>
      <w:r w:rsidR="00EB0904" w:rsidRPr="00F736AB">
        <w:rPr>
          <w:rFonts w:ascii="Times New Roman" w:eastAsia="Times New Roman" w:hAnsi="Times New Roman"/>
          <w:color w:val="17365D" w:themeColor="text2" w:themeShade="BF"/>
          <w:sz w:val="24"/>
          <w:szCs w:val="24"/>
          <w:lang w:val="ro-RO" w:eastAsia="en-GB"/>
        </w:rPr>
        <w:t xml:space="preserve">Secretariatul </w:t>
      </w:r>
      <w:r w:rsidRPr="00F736AB">
        <w:rPr>
          <w:rFonts w:ascii="Times New Roman" w:eastAsia="Times New Roman" w:hAnsi="Times New Roman"/>
          <w:color w:val="17365D" w:themeColor="text2" w:themeShade="BF"/>
          <w:sz w:val="24"/>
          <w:szCs w:val="24"/>
          <w:lang w:val="ro-RO" w:eastAsia="en-GB"/>
        </w:rPr>
        <w:t>General al Guvernului să</w:t>
      </w:r>
      <w:r w:rsidR="00EB0904" w:rsidRPr="00F736AB">
        <w:rPr>
          <w:rFonts w:ascii="Times New Roman" w:eastAsia="Times New Roman" w:hAnsi="Times New Roman"/>
          <w:color w:val="17365D" w:themeColor="text2" w:themeShade="BF"/>
          <w:sz w:val="24"/>
          <w:szCs w:val="24"/>
          <w:lang w:val="ro-RO" w:eastAsia="en-GB"/>
        </w:rPr>
        <w:t xml:space="preserve"> </w:t>
      </w:r>
      <w:r w:rsidR="009A3A4C" w:rsidRPr="00F736AB">
        <w:rPr>
          <w:rFonts w:ascii="Times New Roman" w:eastAsia="Times New Roman" w:hAnsi="Times New Roman"/>
          <w:color w:val="17365D" w:themeColor="text2" w:themeShade="BF"/>
          <w:sz w:val="24"/>
          <w:szCs w:val="24"/>
          <w:lang w:val="ro-RO" w:eastAsia="en-GB"/>
        </w:rPr>
        <w:t>dezvolte sistemul de management strategic integrat al resurselor umane, astfel încât acestea să poată asigura suportul necesar unei administrații publice moderne, performante, inclusive și inovative.</w:t>
      </w:r>
      <w:r w:rsidR="007D31B6" w:rsidRPr="00F736AB">
        <w:rPr>
          <w:rFonts w:ascii="Times New Roman" w:eastAsia="Times New Roman" w:hAnsi="Times New Roman"/>
          <w:color w:val="17365D" w:themeColor="text2" w:themeShade="BF"/>
          <w:sz w:val="24"/>
          <w:szCs w:val="24"/>
          <w:lang w:val="ro-RO" w:eastAsia="en-GB"/>
        </w:rPr>
        <w:t xml:space="preserve">, </w:t>
      </w:r>
    </w:p>
    <w:p w:rsidR="004C6962" w:rsidRPr="00F736AB" w:rsidRDefault="004C6962" w:rsidP="007D31B6">
      <w:pPr>
        <w:pStyle w:val="ListParagraph"/>
        <w:numPr>
          <w:ilvl w:val="0"/>
          <w:numId w:val="16"/>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t xml:space="preserve">Ministerul Dezvoltării Regionale, Administrației Publice și Fondurilor </w:t>
      </w:r>
      <w:r w:rsidR="002451FD" w:rsidRPr="00F736AB">
        <w:rPr>
          <w:rFonts w:ascii="Times New Roman" w:eastAsia="Times New Roman" w:hAnsi="Times New Roman"/>
          <w:color w:val="17365D" w:themeColor="text2" w:themeShade="BF"/>
          <w:sz w:val="24"/>
          <w:szCs w:val="24"/>
          <w:lang w:val="ro-RO" w:eastAsia="en-GB"/>
        </w:rPr>
        <w:t xml:space="preserve">Europene </w:t>
      </w:r>
      <w:r w:rsidRPr="00F736AB">
        <w:rPr>
          <w:rFonts w:ascii="Times New Roman" w:eastAsia="Times New Roman" w:hAnsi="Times New Roman"/>
          <w:color w:val="17365D" w:themeColor="text2" w:themeShade="BF"/>
          <w:sz w:val="24"/>
          <w:szCs w:val="24"/>
          <w:lang w:val="ro-RO" w:eastAsia="en-GB"/>
        </w:rPr>
        <w:t>să elaboreze Codul Urbanismului și Codul de procedură administrativă</w:t>
      </w:r>
      <w:r w:rsidR="002451FD" w:rsidRPr="00F736AB">
        <w:rPr>
          <w:rFonts w:ascii="Times New Roman" w:eastAsia="Times New Roman" w:hAnsi="Times New Roman"/>
          <w:color w:val="17365D" w:themeColor="text2" w:themeShade="BF"/>
          <w:sz w:val="24"/>
          <w:szCs w:val="24"/>
          <w:lang w:val="ro-RO" w:eastAsia="en-GB"/>
        </w:rPr>
        <w:t>,</w:t>
      </w:r>
    </w:p>
    <w:p w:rsidR="002451FD" w:rsidRPr="00F736AB" w:rsidRDefault="002451FD" w:rsidP="002451FD">
      <w:pPr>
        <w:pStyle w:val="ListParagraph"/>
        <w:numPr>
          <w:ilvl w:val="0"/>
          <w:numId w:val="16"/>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t>Ministerul Justiției împreună cu celelalte instituții din sistemul judiciar să implementeze un sistem integrat de management strategic la nivelul,</w:t>
      </w:r>
    </w:p>
    <w:p w:rsidR="002451FD" w:rsidRPr="00F736AB" w:rsidRDefault="002451FD" w:rsidP="007D31B6">
      <w:pPr>
        <w:pStyle w:val="ListParagraph"/>
        <w:numPr>
          <w:ilvl w:val="0"/>
          <w:numId w:val="16"/>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t xml:space="preserve">Ministerul Public pentru a pune </w:t>
      </w:r>
      <w:r w:rsidR="004C6962" w:rsidRPr="00F736AB">
        <w:rPr>
          <w:rFonts w:ascii="Times New Roman" w:eastAsia="Times New Roman" w:hAnsi="Times New Roman"/>
          <w:color w:val="17365D" w:themeColor="text2" w:themeShade="BF"/>
          <w:sz w:val="24"/>
          <w:szCs w:val="24"/>
          <w:lang w:val="ro-RO" w:eastAsia="en-GB"/>
        </w:rPr>
        <w:t>în aplicare a noil</w:t>
      </w:r>
      <w:r w:rsidRPr="00F736AB">
        <w:rPr>
          <w:rFonts w:ascii="Times New Roman" w:eastAsia="Times New Roman" w:hAnsi="Times New Roman"/>
          <w:color w:val="17365D" w:themeColor="text2" w:themeShade="BF"/>
          <w:sz w:val="24"/>
          <w:szCs w:val="24"/>
          <w:lang w:val="ro-RO" w:eastAsia="en-GB"/>
        </w:rPr>
        <w:t>e</w:t>
      </w:r>
      <w:r w:rsidR="004C6962" w:rsidRPr="00F736AB">
        <w:rPr>
          <w:rFonts w:ascii="Times New Roman" w:eastAsia="Times New Roman" w:hAnsi="Times New Roman"/>
          <w:color w:val="17365D" w:themeColor="text2" w:themeShade="BF"/>
          <w:sz w:val="24"/>
          <w:szCs w:val="24"/>
          <w:lang w:val="ro-RO" w:eastAsia="en-GB"/>
        </w:rPr>
        <w:t xml:space="preserve"> prevederi ale codurilor penale în domeniul audierilor</w:t>
      </w:r>
      <w:r w:rsidRPr="00F736AB">
        <w:rPr>
          <w:rFonts w:ascii="Times New Roman" w:eastAsia="Times New Roman" w:hAnsi="Times New Roman"/>
          <w:color w:val="17365D" w:themeColor="text2" w:themeShade="BF"/>
          <w:sz w:val="24"/>
          <w:szCs w:val="24"/>
          <w:lang w:val="ro-RO" w:eastAsia="en-GB"/>
        </w:rPr>
        <w:t xml:space="preserve"> și pentru a îmbunătății perchezițiile informatice și cercetarea mijloacelor de comunicații electronice</w:t>
      </w:r>
      <w:r w:rsidR="009A3A4C" w:rsidRPr="00F736AB">
        <w:rPr>
          <w:rFonts w:ascii="Times New Roman" w:eastAsia="Times New Roman" w:hAnsi="Times New Roman"/>
          <w:color w:val="17365D" w:themeColor="text2" w:themeShade="BF"/>
          <w:sz w:val="24"/>
          <w:szCs w:val="24"/>
          <w:lang w:val="ro-RO" w:eastAsia="en-GB"/>
        </w:rPr>
        <w:t>,</w:t>
      </w:r>
    </w:p>
    <w:p w:rsidR="007D31B6" w:rsidRPr="00F736AB" w:rsidRDefault="002451FD" w:rsidP="002451FD">
      <w:pPr>
        <w:pStyle w:val="ListParagraph"/>
        <w:numPr>
          <w:ilvl w:val="0"/>
          <w:numId w:val="16"/>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t>Agenția Națională de Administrare a Bunurilor Indisponibilizate pentru a consolida și eficientiza sistemului național de recuperare a creanțelor provenite din infracțiuni.</w:t>
      </w:r>
    </w:p>
    <w:p w:rsidR="002451FD" w:rsidRPr="00F736AB" w:rsidRDefault="002451FD" w:rsidP="002451FD">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p>
    <w:p w:rsidR="002451FD" w:rsidRPr="00F736AB" w:rsidRDefault="007D31B6" w:rsidP="007D31B6">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lastRenderedPageBreak/>
        <w:t xml:space="preserve">De asemenea, </w:t>
      </w:r>
      <w:r w:rsidR="002451FD" w:rsidRPr="00F736AB">
        <w:rPr>
          <w:rFonts w:ascii="Times New Roman" w:eastAsia="Times New Roman" w:hAnsi="Times New Roman"/>
          <w:color w:val="17365D" w:themeColor="text2" w:themeShade="BF"/>
          <w:sz w:val="24"/>
          <w:szCs w:val="24"/>
          <w:lang w:val="ro-RO" w:eastAsia="en-GB"/>
        </w:rPr>
        <w:t xml:space="preserve">Autoritatea de Management a pregătit alte apeluri, în valoare de 24,01 mil. euro, </w:t>
      </w:r>
      <w:r w:rsidRPr="00F736AB">
        <w:rPr>
          <w:rFonts w:ascii="Times New Roman" w:eastAsia="Times New Roman" w:hAnsi="Times New Roman"/>
          <w:color w:val="17365D" w:themeColor="text2" w:themeShade="BF"/>
          <w:sz w:val="24"/>
          <w:szCs w:val="24"/>
          <w:lang w:val="ro-RO" w:eastAsia="en-GB"/>
        </w:rPr>
        <w:t>pentru</w:t>
      </w:r>
      <w:r w:rsidR="002451FD" w:rsidRPr="00F736AB">
        <w:rPr>
          <w:rFonts w:ascii="Times New Roman" w:eastAsia="Times New Roman" w:hAnsi="Times New Roman"/>
          <w:color w:val="17365D" w:themeColor="text2" w:themeShade="BF"/>
          <w:sz w:val="24"/>
          <w:szCs w:val="24"/>
          <w:lang w:val="ro-RO" w:eastAsia="en-GB"/>
        </w:rPr>
        <w:t>:</w:t>
      </w:r>
    </w:p>
    <w:p w:rsidR="002451FD" w:rsidRPr="00F736AB" w:rsidRDefault="007D31B6" w:rsidP="002451FD">
      <w:pPr>
        <w:pStyle w:val="ListParagraph"/>
        <w:numPr>
          <w:ilvl w:val="0"/>
          <w:numId w:val="21"/>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t>măsuri ce vizează introducerea managementul calității la nivel</w:t>
      </w:r>
      <w:r w:rsidR="002451FD" w:rsidRPr="00F736AB">
        <w:rPr>
          <w:rFonts w:ascii="Times New Roman" w:eastAsia="Times New Roman" w:hAnsi="Times New Roman"/>
          <w:color w:val="17365D" w:themeColor="text2" w:themeShade="BF"/>
          <w:sz w:val="24"/>
          <w:szCs w:val="24"/>
          <w:lang w:val="ro-RO" w:eastAsia="en-GB"/>
        </w:rPr>
        <w:t>ul consiliilor județene și al municipiilor</w:t>
      </w:r>
      <w:r w:rsidRPr="00F736AB">
        <w:rPr>
          <w:rFonts w:ascii="Times New Roman" w:eastAsia="Times New Roman" w:hAnsi="Times New Roman"/>
          <w:color w:val="17365D" w:themeColor="text2" w:themeShade="BF"/>
          <w:sz w:val="24"/>
          <w:szCs w:val="24"/>
          <w:lang w:val="ro-RO" w:eastAsia="en-GB"/>
        </w:rPr>
        <w:t xml:space="preserve">, </w:t>
      </w:r>
    </w:p>
    <w:p w:rsidR="002451FD" w:rsidRPr="00F736AB" w:rsidRDefault="007D31B6" w:rsidP="002451FD">
      <w:pPr>
        <w:pStyle w:val="ListParagraph"/>
        <w:numPr>
          <w:ilvl w:val="0"/>
          <w:numId w:val="21"/>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t xml:space="preserve">pentru sprijinirea </w:t>
      </w:r>
      <w:r w:rsidR="002451FD" w:rsidRPr="00F736AB">
        <w:rPr>
          <w:rFonts w:ascii="Times New Roman" w:eastAsia="Times New Roman" w:hAnsi="Times New Roman"/>
          <w:color w:val="17365D" w:themeColor="text2" w:themeShade="BF"/>
          <w:sz w:val="24"/>
          <w:szCs w:val="24"/>
          <w:lang w:val="ro-RO" w:eastAsia="en-GB"/>
        </w:rPr>
        <w:t xml:space="preserve">Ministerului Justiției și Ministerului Dezvoltării Regionale, Administrației Publice și Fondurilor Europene în implementarea </w:t>
      </w:r>
      <w:r w:rsidRPr="00F736AB">
        <w:rPr>
          <w:rFonts w:ascii="Times New Roman" w:eastAsia="Times New Roman" w:hAnsi="Times New Roman"/>
          <w:color w:val="17365D" w:themeColor="text2" w:themeShade="BF"/>
          <w:sz w:val="24"/>
          <w:szCs w:val="24"/>
          <w:lang w:val="ro-RO" w:eastAsia="en-GB"/>
        </w:rPr>
        <w:t>S</w:t>
      </w:r>
      <w:r w:rsidR="002451FD" w:rsidRPr="00F736AB">
        <w:rPr>
          <w:rFonts w:ascii="Times New Roman" w:eastAsia="Times New Roman" w:hAnsi="Times New Roman"/>
          <w:color w:val="17365D" w:themeColor="text2" w:themeShade="BF"/>
          <w:sz w:val="24"/>
          <w:szCs w:val="24"/>
          <w:lang w:val="ro-RO" w:eastAsia="en-GB"/>
        </w:rPr>
        <w:t xml:space="preserve">trategiei </w:t>
      </w:r>
      <w:r w:rsidRPr="00F736AB">
        <w:rPr>
          <w:rFonts w:ascii="Times New Roman" w:eastAsia="Times New Roman" w:hAnsi="Times New Roman"/>
          <w:color w:val="17365D" w:themeColor="text2" w:themeShade="BF"/>
          <w:sz w:val="24"/>
          <w:szCs w:val="24"/>
          <w:lang w:val="ro-RO" w:eastAsia="en-GB"/>
        </w:rPr>
        <w:t>N</w:t>
      </w:r>
      <w:r w:rsidR="002451FD" w:rsidRPr="00F736AB">
        <w:rPr>
          <w:rFonts w:ascii="Times New Roman" w:eastAsia="Times New Roman" w:hAnsi="Times New Roman"/>
          <w:color w:val="17365D" w:themeColor="text2" w:themeShade="BF"/>
          <w:sz w:val="24"/>
          <w:szCs w:val="24"/>
          <w:lang w:val="ro-RO" w:eastAsia="en-GB"/>
        </w:rPr>
        <w:t xml:space="preserve">aționale </w:t>
      </w:r>
      <w:r w:rsidRPr="00F736AB">
        <w:rPr>
          <w:rFonts w:ascii="Times New Roman" w:eastAsia="Times New Roman" w:hAnsi="Times New Roman"/>
          <w:color w:val="17365D" w:themeColor="text2" w:themeShade="BF"/>
          <w:sz w:val="24"/>
          <w:szCs w:val="24"/>
          <w:lang w:val="ro-RO" w:eastAsia="en-GB"/>
        </w:rPr>
        <w:t>A</w:t>
      </w:r>
      <w:r w:rsidR="002451FD" w:rsidRPr="00F736AB">
        <w:rPr>
          <w:rFonts w:ascii="Times New Roman" w:eastAsia="Times New Roman" w:hAnsi="Times New Roman"/>
          <w:color w:val="17365D" w:themeColor="text2" w:themeShade="BF"/>
          <w:sz w:val="24"/>
          <w:szCs w:val="24"/>
          <w:lang w:val="ro-RO" w:eastAsia="en-GB"/>
        </w:rPr>
        <w:t>nticorupție</w:t>
      </w:r>
      <w:r w:rsidR="008326CC" w:rsidRPr="00F736AB">
        <w:rPr>
          <w:rFonts w:ascii="Times New Roman" w:eastAsia="Times New Roman" w:hAnsi="Times New Roman"/>
          <w:color w:val="17365D" w:themeColor="text2" w:themeShade="BF"/>
          <w:sz w:val="24"/>
          <w:szCs w:val="24"/>
          <w:lang w:val="ro-RO" w:eastAsia="en-GB"/>
        </w:rPr>
        <w:t>,</w:t>
      </w:r>
      <w:r w:rsidRPr="00F736AB">
        <w:rPr>
          <w:rFonts w:ascii="Times New Roman" w:eastAsia="Times New Roman" w:hAnsi="Times New Roman"/>
          <w:color w:val="17365D" w:themeColor="text2" w:themeShade="BF"/>
          <w:sz w:val="24"/>
          <w:szCs w:val="24"/>
          <w:lang w:val="ro-RO" w:eastAsia="en-GB"/>
        </w:rPr>
        <w:t xml:space="preserve"> </w:t>
      </w:r>
    </w:p>
    <w:p w:rsidR="007D31B6" w:rsidRPr="00F736AB" w:rsidRDefault="002451FD" w:rsidP="002451FD">
      <w:pPr>
        <w:pStyle w:val="ListParagraph"/>
        <w:numPr>
          <w:ilvl w:val="0"/>
          <w:numId w:val="21"/>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t>măsuri a îmbunătăți</w:t>
      </w:r>
      <w:r w:rsidR="007D31B6" w:rsidRPr="00F736AB">
        <w:rPr>
          <w:rFonts w:ascii="Times New Roman" w:eastAsia="Times New Roman" w:hAnsi="Times New Roman"/>
          <w:color w:val="17365D" w:themeColor="text2" w:themeShade="BF"/>
          <w:sz w:val="24"/>
          <w:szCs w:val="24"/>
          <w:lang w:val="ro-RO" w:eastAsia="en-GB"/>
        </w:rPr>
        <w:t xml:space="preserve"> acces</w:t>
      </w:r>
      <w:r w:rsidRPr="00F736AB">
        <w:rPr>
          <w:rFonts w:ascii="Times New Roman" w:eastAsia="Times New Roman" w:hAnsi="Times New Roman"/>
          <w:color w:val="17365D" w:themeColor="text2" w:themeShade="BF"/>
          <w:sz w:val="24"/>
          <w:szCs w:val="24"/>
          <w:lang w:val="ro-RO" w:eastAsia="en-GB"/>
        </w:rPr>
        <w:t>ul</w:t>
      </w:r>
      <w:r w:rsidR="008B6A42" w:rsidRPr="00F736AB">
        <w:rPr>
          <w:rFonts w:ascii="Times New Roman" w:eastAsia="Times New Roman" w:hAnsi="Times New Roman"/>
          <w:color w:val="17365D" w:themeColor="text2" w:themeShade="BF"/>
          <w:sz w:val="24"/>
          <w:szCs w:val="24"/>
          <w:lang w:val="ro-RO" w:eastAsia="en-GB"/>
        </w:rPr>
        <w:t xml:space="preserve"> la justiție</w:t>
      </w:r>
      <w:r w:rsidR="007D31B6" w:rsidRPr="00F736AB">
        <w:rPr>
          <w:rFonts w:ascii="Times New Roman" w:eastAsia="Times New Roman" w:hAnsi="Times New Roman"/>
          <w:color w:val="17365D" w:themeColor="text2" w:themeShade="BF"/>
          <w:sz w:val="24"/>
          <w:szCs w:val="24"/>
          <w:lang w:val="ro-RO" w:eastAsia="en-GB"/>
        </w:rPr>
        <w:t xml:space="preserve">. </w:t>
      </w:r>
    </w:p>
    <w:p w:rsidR="007D31B6" w:rsidRPr="00F736AB" w:rsidRDefault="007D31B6" w:rsidP="007D31B6">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p>
    <w:p w:rsidR="002451FD" w:rsidRPr="00F736AB" w:rsidRDefault="002451FD" w:rsidP="007D31B6">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t>Detalii</w:t>
      </w:r>
      <w:r w:rsidR="008326CC" w:rsidRPr="00F736AB">
        <w:rPr>
          <w:rFonts w:ascii="Times New Roman" w:eastAsia="Times New Roman" w:hAnsi="Times New Roman"/>
          <w:color w:val="17365D" w:themeColor="text2" w:themeShade="BF"/>
          <w:sz w:val="24"/>
          <w:szCs w:val="24"/>
          <w:lang w:val="ro-RO" w:eastAsia="en-GB"/>
        </w:rPr>
        <w:t xml:space="preserve"> privind</w:t>
      </w:r>
      <w:r w:rsidRPr="00F736AB">
        <w:rPr>
          <w:rFonts w:ascii="Times New Roman" w:eastAsia="Times New Roman" w:hAnsi="Times New Roman"/>
          <w:color w:val="17365D" w:themeColor="text2" w:themeShade="BF"/>
          <w:sz w:val="24"/>
          <w:szCs w:val="24"/>
          <w:lang w:val="ro-RO" w:eastAsia="en-GB"/>
        </w:rPr>
        <w:t xml:space="preserve"> liniile de finanțare </w:t>
      </w:r>
      <w:r w:rsidR="008326CC" w:rsidRPr="00F736AB">
        <w:rPr>
          <w:rFonts w:ascii="Times New Roman" w:eastAsia="Times New Roman" w:hAnsi="Times New Roman"/>
          <w:color w:val="17365D" w:themeColor="text2" w:themeShade="BF"/>
          <w:sz w:val="24"/>
          <w:szCs w:val="24"/>
          <w:lang w:val="ro-RO" w:eastAsia="en-GB"/>
        </w:rPr>
        <w:t xml:space="preserve">din program </w:t>
      </w:r>
      <w:r w:rsidRPr="00F736AB">
        <w:rPr>
          <w:rFonts w:ascii="Times New Roman" w:eastAsia="Times New Roman" w:hAnsi="Times New Roman"/>
          <w:color w:val="17365D" w:themeColor="text2" w:themeShade="BF"/>
          <w:sz w:val="24"/>
          <w:szCs w:val="24"/>
          <w:lang w:val="ro-RO" w:eastAsia="en-GB"/>
        </w:rPr>
        <w:t xml:space="preserve">sunt disponibile la adresa: </w:t>
      </w:r>
      <w:hyperlink r:id="rId16" w:history="1">
        <w:r w:rsidRPr="00F736AB">
          <w:rPr>
            <w:rStyle w:val="Hyperlink"/>
            <w:rFonts w:ascii="Times New Roman" w:eastAsia="Times New Roman" w:hAnsi="Times New Roman"/>
            <w:sz w:val="24"/>
            <w:szCs w:val="24"/>
            <w:lang w:val="ro-RO" w:eastAsia="en-GB"/>
          </w:rPr>
          <w:t>http://poca.ro/solicitare-finantare/</w:t>
        </w:r>
      </w:hyperlink>
      <w:r w:rsidRPr="00F736AB">
        <w:rPr>
          <w:rFonts w:ascii="Times New Roman" w:eastAsia="Times New Roman" w:hAnsi="Times New Roman"/>
          <w:color w:val="17365D" w:themeColor="text2" w:themeShade="BF"/>
          <w:sz w:val="24"/>
          <w:szCs w:val="24"/>
          <w:lang w:val="ro-RO" w:eastAsia="en-GB"/>
        </w:rPr>
        <w:t xml:space="preserve"> </w:t>
      </w:r>
    </w:p>
    <w:p w:rsidR="002451FD" w:rsidRPr="00F736AB" w:rsidRDefault="002451FD" w:rsidP="007D31B6">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p>
    <w:p w:rsidR="00F35B65" w:rsidRPr="00F736AB" w:rsidRDefault="00CA5F5B" w:rsidP="007D31B6">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t xml:space="preserve">La finalului anului 2016 erau în curs de implementare 31 de proiecte cu o valoare totală ce acoperă 18% din fondurile alocate programului, iar autoritatea de management a rambursat cheltuieli ale beneficiarilor în valoare de </w:t>
      </w:r>
      <w:r w:rsidR="00F35B65" w:rsidRPr="00F736AB">
        <w:rPr>
          <w:rFonts w:ascii="Times New Roman" w:eastAsia="Times New Roman" w:hAnsi="Times New Roman"/>
          <w:color w:val="17365D" w:themeColor="text2" w:themeShade="BF"/>
          <w:sz w:val="24"/>
          <w:szCs w:val="24"/>
          <w:lang w:val="ro-RO" w:eastAsia="en-GB"/>
        </w:rPr>
        <w:t>aproximativ 4,91 mil. euro. Pentru a deconta aceste sume de la Comisia Europeană, autoritatea de management și celelalte instituții implicate în controlul fondurilor alocate programului au realizat eforturi pentru pregătire în conformitate cu cerințele regulamentelor europene. În cursul anului 2017</w:t>
      </w:r>
      <w:r w:rsidR="00F736AB" w:rsidRPr="00F736AB">
        <w:rPr>
          <w:rFonts w:ascii="Times New Roman" w:eastAsia="Times New Roman" w:hAnsi="Times New Roman"/>
          <w:color w:val="17365D" w:themeColor="text2" w:themeShade="BF"/>
          <w:sz w:val="24"/>
          <w:szCs w:val="24"/>
          <w:lang w:val="ro-RO" w:eastAsia="en-GB"/>
        </w:rPr>
        <w:t>, acest proces</w:t>
      </w:r>
      <w:r w:rsidR="00F35B65" w:rsidRPr="00F736AB">
        <w:rPr>
          <w:rFonts w:ascii="Times New Roman" w:eastAsia="Times New Roman" w:hAnsi="Times New Roman"/>
          <w:color w:val="17365D" w:themeColor="text2" w:themeShade="BF"/>
          <w:sz w:val="24"/>
          <w:szCs w:val="24"/>
          <w:lang w:val="ro-RO" w:eastAsia="en-GB"/>
        </w:rPr>
        <w:t xml:space="preserve"> va </w:t>
      </w:r>
      <w:r w:rsidR="00F736AB" w:rsidRPr="00F736AB">
        <w:rPr>
          <w:rFonts w:ascii="Times New Roman" w:eastAsia="Times New Roman" w:hAnsi="Times New Roman"/>
          <w:color w:val="17365D" w:themeColor="text2" w:themeShade="BF"/>
          <w:sz w:val="24"/>
          <w:szCs w:val="24"/>
          <w:lang w:val="ro-RO" w:eastAsia="en-GB"/>
        </w:rPr>
        <w:t xml:space="preserve">fi </w:t>
      </w:r>
      <w:r w:rsidR="00F35B65" w:rsidRPr="00F736AB">
        <w:rPr>
          <w:rFonts w:ascii="Times New Roman" w:eastAsia="Times New Roman" w:hAnsi="Times New Roman"/>
          <w:color w:val="17365D" w:themeColor="text2" w:themeShade="BF"/>
          <w:sz w:val="24"/>
          <w:szCs w:val="24"/>
          <w:lang w:val="ro-RO" w:eastAsia="en-GB"/>
        </w:rPr>
        <w:t>finaliza</w:t>
      </w:r>
      <w:r w:rsidR="00F736AB" w:rsidRPr="00F736AB">
        <w:rPr>
          <w:rFonts w:ascii="Times New Roman" w:eastAsia="Times New Roman" w:hAnsi="Times New Roman"/>
          <w:color w:val="17365D" w:themeColor="text2" w:themeShade="BF"/>
          <w:sz w:val="24"/>
          <w:szCs w:val="24"/>
          <w:lang w:val="ro-RO" w:eastAsia="en-GB"/>
        </w:rPr>
        <w:t>t</w:t>
      </w:r>
      <w:r w:rsidR="00F35B65" w:rsidRPr="00F736AB">
        <w:rPr>
          <w:rFonts w:ascii="Times New Roman" w:eastAsia="Times New Roman" w:hAnsi="Times New Roman"/>
          <w:color w:val="17365D" w:themeColor="text2" w:themeShade="BF"/>
          <w:sz w:val="24"/>
          <w:szCs w:val="24"/>
          <w:lang w:val="ro-RO" w:eastAsia="en-GB"/>
        </w:rPr>
        <w:t xml:space="preserve">. </w:t>
      </w:r>
    </w:p>
    <w:p w:rsidR="008B6A42" w:rsidRPr="00F736AB" w:rsidRDefault="008B6A42" w:rsidP="007D31B6">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p>
    <w:p w:rsidR="008B6A42" w:rsidRPr="00F736AB" w:rsidRDefault="008B6A42" w:rsidP="007D31B6">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t>Câteva din rezultatele pe care AM POCA le așteaptă ca urmare a finanțării proiectelor care se aflau în implementare la finalul anului 2016 sunt prezentate mai jos:</w:t>
      </w:r>
    </w:p>
    <w:p w:rsidR="008B6A42" w:rsidRPr="00F736AB" w:rsidRDefault="008B6A42" w:rsidP="007D31B6">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p>
    <w:p w:rsidR="008B6A42" w:rsidRPr="00F736AB" w:rsidRDefault="008B6A42" w:rsidP="00E60ADE">
      <w:pPr>
        <w:pStyle w:val="ListParagraph"/>
        <w:numPr>
          <w:ilvl w:val="0"/>
          <w:numId w:val="22"/>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t>Planificarea strategică și bugetarea pe programe implementate la nivelul a 10 ministere pe baza metodologiilor și instrumentelor comune dezvoltate;</w:t>
      </w:r>
    </w:p>
    <w:p w:rsidR="008B6A42" w:rsidRPr="00F736AB" w:rsidRDefault="008B6A42" w:rsidP="00E60ADE">
      <w:pPr>
        <w:pStyle w:val="ListParagraph"/>
        <w:numPr>
          <w:ilvl w:val="0"/>
          <w:numId w:val="22"/>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t xml:space="preserve">Cadru metodologic unitar și instrumente  pentru monitorizarea </w:t>
      </w:r>
      <w:r w:rsidR="00E60ADE" w:rsidRPr="00F736AB">
        <w:rPr>
          <w:rFonts w:ascii="Times New Roman" w:eastAsia="Times New Roman" w:hAnsi="Times New Roman"/>
          <w:color w:val="17365D" w:themeColor="text2" w:themeShade="BF"/>
          <w:sz w:val="24"/>
          <w:szCs w:val="24"/>
          <w:lang w:val="ro-RO" w:eastAsia="en-GB"/>
        </w:rPr>
        <w:t>ș</w:t>
      </w:r>
      <w:r w:rsidRPr="00F736AB">
        <w:rPr>
          <w:rFonts w:ascii="Times New Roman" w:eastAsia="Times New Roman" w:hAnsi="Times New Roman"/>
          <w:color w:val="17365D" w:themeColor="text2" w:themeShade="BF"/>
          <w:sz w:val="24"/>
          <w:szCs w:val="24"/>
          <w:lang w:val="ro-RO" w:eastAsia="en-GB"/>
        </w:rPr>
        <w:t>i evaluarea documentelor strategice;</w:t>
      </w:r>
    </w:p>
    <w:p w:rsidR="008B6A42" w:rsidRPr="00F736AB" w:rsidRDefault="008B6A42" w:rsidP="00E60ADE">
      <w:pPr>
        <w:pStyle w:val="ListParagraph"/>
        <w:numPr>
          <w:ilvl w:val="0"/>
          <w:numId w:val="22"/>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t>Propunere de politică publică  elaborată în domeniul e-guvernării;</w:t>
      </w:r>
    </w:p>
    <w:p w:rsidR="008B6A42" w:rsidRPr="00F736AB" w:rsidRDefault="008B6A42" w:rsidP="00E60ADE">
      <w:pPr>
        <w:pStyle w:val="ListParagraph"/>
        <w:numPr>
          <w:ilvl w:val="0"/>
          <w:numId w:val="22"/>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t>Set de standarde procedurale minime elaborat pentru furnizarea serviciilor publice în format electronic (pe tipuri de instituții publice  atât de la nivel central cât si de la nivel local – consilii județene, municipii, orașe, comune);</w:t>
      </w:r>
    </w:p>
    <w:p w:rsidR="008B6A42" w:rsidRPr="00F736AB" w:rsidRDefault="00E60ADE" w:rsidP="00E60ADE">
      <w:pPr>
        <w:pStyle w:val="ListParagraph"/>
        <w:numPr>
          <w:ilvl w:val="0"/>
          <w:numId w:val="22"/>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t>P</w:t>
      </w:r>
      <w:r w:rsidR="008B6A42" w:rsidRPr="00F736AB">
        <w:rPr>
          <w:rFonts w:ascii="Times New Roman" w:eastAsia="Times New Roman" w:hAnsi="Times New Roman"/>
          <w:color w:val="17365D" w:themeColor="text2" w:themeShade="BF"/>
          <w:sz w:val="24"/>
          <w:szCs w:val="24"/>
          <w:lang w:val="ro-RO" w:eastAsia="en-GB"/>
        </w:rPr>
        <w:t>ropuneri de standarde de calitate și de cost pentru servicii publice descentralizate;</w:t>
      </w:r>
    </w:p>
    <w:p w:rsidR="008B6A42" w:rsidRPr="00F736AB" w:rsidRDefault="008B6A42" w:rsidP="00E60ADE">
      <w:pPr>
        <w:pStyle w:val="ListParagraph"/>
        <w:numPr>
          <w:ilvl w:val="0"/>
          <w:numId w:val="22"/>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t xml:space="preserve">Sistem de monitorizare și evaluare a standardelor de calitate și cost și a capacității administrative a unităților administrativ-teritoriale; </w:t>
      </w:r>
    </w:p>
    <w:p w:rsidR="008B6A42" w:rsidRPr="00F736AB" w:rsidRDefault="008B6A42" w:rsidP="00E60ADE">
      <w:pPr>
        <w:pStyle w:val="ListParagraph"/>
        <w:numPr>
          <w:ilvl w:val="0"/>
          <w:numId w:val="22"/>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t xml:space="preserve">Cadrul operațional și procedural necesar executării tranzacțiilor cu instrumente financiare derivate elaborat </w:t>
      </w:r>
      <w:r w:rsidR="00E60ADE" w:rsidRPr="00F736AB">
        <w:rPr>
          <w:rFonts w:ascii="Times New Roman" w:eastAsia="Times New Roman" w:hAnsi="Times New Roman"/>
          <w:color w:val="17365D" w:themeColor="text2" w:themeShade="BF"/>
          <w:sz w:val="24"/>
          <w:szCs w:val="24"/>
          <w:lang w:val="ro-RO" w:eastAsia="en-GB"/>
        </w:rPr>
        <w:t>și</w:t>
      </w:r>
      <w:r w:rsidRPr="00F736AB">
        <w:rPr>
          <w:rFonts w:ascii="Times New Roman" w:eastAsia="Times New Roman" w:hAnsi="Times New Roman"/>
          <w:color w:val="17365D" w:themeColor="text2" w:themeShade="BF"/>
          <w:sz w:val="24"/>
          <w:szCs w:val="24"/>
          <w:lang w:val="ro-RO" w:eastAsia="en-GB"/>
        </w:rPr>
        <w:t xml:space="preserve"> diseminat;</w:t>
      </w:r>
    </w:p>
    <w:p w:rsidR="008B6A42" w:rsidRPr="00F736AB" w:rsidRDefault="008B6A42" w:rsidP="00E60ADE">
      <w:pPr>
        <w:pStyle w:val="ListParagraph"/>
        <w:numPr>
          <w:ilvl w:val="0"/>
          <w:numId w:val="22"/>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t>Mecanism unitar, interactiv și participativ de monitorizare a Strategiei pentru Consolidarea Administrației Publice 2014-2020 elaborat și implementat;</w:t>
      </w:r>
    </w:p>
    <w:p w:rsidR="008B6A42" w:rsidRPr="00F736AB" w:rsidRDefault="008B6A42" w:rsidP="00E60ADE">
      <w:pPr>
        <w:pStyle w:val="ListParagraph"/>
        <w:numPr>
          <w:ilvl w:val="0"/>
          <w:numId w:val="22"/>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t>Studii de impact aprofundate bazate pe utilizarea metodelor de cuantificare avansată a impactului;</w:t>
      </w:r>
    </w:p>
    <w:p w:rsidR="008B6A42" w:rsidRPr="00F736AB" w:rsidRDefault="008B6A42" w:rsidP="00E60ADE">
      <w:pPr>
        <w:pStyle w:val="ListParagraph"/>
        <w:numPr>
          <w:ilvl w:val="0"/>
          <w:numId w:val="22"/>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t>Plan Național de Gestionare a Deșeurilor;</w:t>
      </w:r>
    </w:p>
    <w:p w:rsidR="008B6A42" w:rsidRPr="00F736AB" w:rsidRDefault="008B6A42" w:rsidP="00E60ADE">
      <w:pPr>
        <w:pStyle w:val="ListParagraph"/>
        <w:numPr>
          <w:ilvl w:val="0"/>
          <w:numId w:val="22"/>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t xml:space="preserve">Instrumente de monitorizare </w:t>
      </w:r>
      <w:r w:rsidR="00E60ADE" w:rsidRPr="00F736AB">
        <w:rPr>
          <w:rFonts w:ascii="Times New Roman" w:eastAsia="Times New Roman" w:hAnsi="Times New Roman"/>
          <w:color w:val="17365D" w:themeColor="text2" w:themeShade="BF"/>
          <w:sz w:val="24"/>
          <w:szCs w:val="24"/>
          <w:lang w:val="ro-RO" w:eastAsia="en-GB"/>
        </w:rPr>
        <w:t>și</w:t>
      </w:r>
      <w:r w:rsidRPr="00F736AB">
        <w:rPr>
          <w:rFonts w:ascii="Times New Roman" w:eastAsia="Times New Roman" w:hAnsi="Times New Roman"/>
          <w:color w:val="17365D" w:themeColor="text2" w:themeShade="BF"/>
          <w:sz w:val="24"/>
          <w:szCs w:val="24"/>
          <w:lang w:val="ro-RO" w:eastAsia="en-GB"/>
        </w:rPr>
        <w:t xml:space="preserve"> evaluare a programelor </w:t>
      </w:r>
      <w:r w:rsidR="00E60ADE" w:rsidRPr="00F736AB">
        <w:rPr>
          <w:rFonts w:ascii="Times New Roman" w:eastAsia="Times New Roman" w:hAnsi="Times New Roman"/>
          <w:color w:val="17365D" w:themeColor="text2" w:themeShade="BF"/>
          <w:sz w:val="24"/>
          <w:szCs w:val="24"/>
          <w:lang w:val="ro-RO" w:eastAsia="en-GB"/>
        </w:rPr>
        <w:t>naționale</w:t>
      </w:r>
      <w:r w:rsidRPr="00F736AB">
        <w:rPr>
          <w:rFonts w:ascii="Times New Roman" w:eastAsia="Times New Roman" w:hAnsi="Times New Roman"/>
          <w:color w:val="17365D" w:themeColor="text2" w:themeShade="BF"/>
          <w:sz w:val="24"/>
          <w:szCs w:val="24"/>
          <w:lang w:val="ro-RO" w:eastAsia="en-GB"/>
        </w:rPr>
        <w:t xml:space="preserve"> de sănătate publică;</w:t>
      </w:r>
    </w:p>
    <w:p w:rsidR="008B6A42" w:rsidRPr="00F736AB" w:rsidRDefault="008B6A42" w:rsidP="00E60ADE">
      <w:pPr>
        <w:pStyle w:val="ListParagraph"/>
        <w:numPr>
          <w:ilvl w:val="0"/>
          <w:numId w:val="22"/>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t xml:space="preserve">Dezvoltarea unui set de instrumente necesare derulării procesului de evaluare a riscurilor la nivel </w:t>
      </w:r>
      <w:r w:rsidR="00E60ADE" w:rsidRPr="00F736AB">
        <w:rPr>
          <w:rFonts w:ascii="Times New Roman" w:eastAsia="Times New Roman" w:hAnsi="Times New Roman"/>
          <w:color w:val="17365D" w:themeColor="text2" w:themeShade="BF"/>
          <w:sz w:val="24"/>
          <w:szCs w:val="24"/>
          <w:lang w:val="ro-RO" w:eastAsia="en-GB"/>
        </w:rPr>
        <w:t>național</w:t>
      </w:r>
      <w:r w:rsidRPr="00F736AB">
        <w:rPr>
          <w:rFonts w:ascii="Times New Roman" w:eastAsia="Times New Roman" w:hAnsi="Times New Roman"/>
          <w:color w:val="17365D" w:themeColor="text2" w:themeShade="BF"/>
          <w:sz w:val="24"/>
          <w:szCs w:val="24"/>
          <w:lang w:val="ro-RO" w:eastAsia="en-GB"/>
        </w:rPr>
        <w:t>;</w:t>
      </w:r>
    </w:p>
    <w:p w:rsidR="008B6A42" w:rsidRPr="00F736AB" w:rsidRDefault="008B6A42" w:rsidP="00E60ADE">
      <w:pPr>
        <w:pStyle w:val="ListParagraph"/>
        <w:numPr>
          <w:ilvl w:val="0"/>
          <w:numId w:val="22"/>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t xml:space="preserve">Identificarea nevoilor de optimizare a cadrului legal </w:t>
      </w:r>
      <w:r w:rsidR="00E60ADE" w:rsidRPr="00F736AB">
        <w:rPr>
          <w:rFonts w:ascii="Times New Roman" w:eastAsia="Times New Roman" w:hAnsi="Times New Roman"/>
          <w:color w:val="17365D" w:themeColor="text2" w:themeShade="BF"/>
          <w:sz w:val="24"/>
          <w:szCs w:val="24"/>
          <w:lang w:val="ro-RO" w:eastAsia="en-GB"/>
        </w:rPr>
        <w:t>ș</w:t>
      </w:r>
      <w:r w:rsidRPr="00F736AB">
        <w:rPr>
          <w:rFonts w:ascii="Times New Roman" w:eastAsia="Times New Roman" w:hAnsi="Times New Roman"/>
          <w:color w:val="17365D" w:themeColor="text2" w:themeShade="BF"/>
          <w:sz w:val="24"/>
          <w:szCs w:val="24"/>
          <w:lang w:val="ro-RO" w:eastAsia="en-GB"/>
        </w:rPr>
        <w:t xml:space="preserve">i </w:t>
      </w:r>
      <w:r w:rsidR="00E60ADE" w:rsidRPr="00F736AB">
        <w:rPr>
          <w:rFonts w:ascii="Times New Roman" w:eastAsia="Times New Roman" w:hAnsi="Times New Roman"/>
          <w:color w:val="17365D" w:themeColor="text2" w:themeShade="BF"/>
          <w:sz w:val="24"/>
          <w:szCs w:val="24"/>
          <w:lang w:val="ro-RO" w:eastAsia="en-GB"/>
        </w:rPr>
        <w:t>instituțional</w:t>
      </w:r>
      <w:r w:rsidRPr="00F736AB">
        <w:rPr>
          <w:rFonts w:ascii="Times New Roman" w:eastAsia="Times New Roman" w:hAnsi="Times New Roman"/>
          <w:color w:val="17365D" w:themeColor="text2" w:themeShade="BF"/>
          <w:sz w:val="24"/>
          <w:szCs w:val="24"/>
          <w:lang w:val="ro-RO" w:eastAsia="en-GB"/>
        </w:rPr>
        <w:t xml:space="preserve"> vizează stabilirea suprapunerilor legislative </w:t>
      </w:r>
      <w:r w:rsidR="00E60ADE" w:rsidRPr="00F736AB">
        <w:rPr>
          <w:rFonts w:ascii="Times New Roman" w:eastAsia="Times New Roman" w:hAnsi="Times New Roman"/>
          <w:color w:val="17365D" w:themeColor="text2" w:themeShade="BF"/>
          <w:sz w:val="24"/>
          <w:szCs w:val="24"/>
          <w:lang w:val="ro-RO" w:eastAsia="en-GB"/>
        </w:rPr>
        <w:t>și</w:t>
      </w:r>
      <w:r w:rsidRPr="00F736AB">
        <w:rPr>
          <w:rFonts w:ascii="Times New Roman" w:eastAsia="Times New Roman" w:hAnsi="Times New Roman"/>
          <w:color w:val="17365D" w:themeColor="text2" w:themeShade="BF"/>
          <w:sz w:val="24"/>
          <w:szCs w:val="24"/>
          <w:lang w:val="ro-RO" w:eastAsia="en-GB"/>
        </w:rPr>
        <w:t xml:space="preserve"> a lipsurilor în domeniul managementului riscurilor, în vederea clarificării rolurilor </w:t>
      </w:r>
      <w:r w:rsidR="00E60ADE" w:rsidRPr="00F736AB">
        <w:rPr>
          <w:rFonts w:ascii="Times New Roman" w:eastAsia="Times New Roman" w:hAnsi="Times New Roman"/>
          <w:color w:val="17365D" w:themeColor="text2" w:themeShade="BF"/>
          <w:sz w:val="24"/>
          <w:szCs w:val="24"/>
          <w:lang w:val="ro-RO" w:eastAsia="en-GB"/>
        </w:rPr>
        <w:t>și</w:t>
      </w:r>
      <w:r w:rsidRPr="00F736AB">
        <w:rPr>
          <w:rFonts w:ascii="Times New Roman" w:eastAsia="Times New Roman" w:hAnsi="Times New Roman"/>
          <w:color w:val="17365D" w:themeColor="text2" w:themeShade="BF"/>
          <w:sz w:val="24"/>
          <w:szCs w:val="24"/>
          <w:lang w:val="ro-RO" w:eastAsia="en-GB"/>
        </w:rPr>
        <w:t xml:space="preserve"> </w:t>
      </w:r>
      <w:r w:rsidR="00E60ADE" w:rsidRPr="00F736AB">
        <w:rPr>
          <w:rFonts w:ascii="Times New Roman" w:eastAsia="Times New Roman" w:hAnsi="Times New Roman"/>
          <w:color w:val="17365D" w:themeColor="text2" w:themeShade="BF"/>
          <w:sz w:val="24"/>
          <w:szCs w:val="24"/>
          <w:lang w:val="ro-RO" w:eastAsia="en-GB"/>
        </w:rPr>
        <w:t>competențelor</w:t>
      </w:r>
      <w:r w:rsidRPr="00F736AB">
        <w:rPr>
          <w:rFonts w:ascii="Times New Roman" w:eastAsia="Times New Roman" w:hAnsi="Times New Roman"/>
          <w:color w:val="17365D" w:themeColor="text2" w:themeShade="BF"/>
          <w:sz w:val="24"/>
          <w:szCs w:val="24"/>
          <w:lang w:val="ro-RO" w:eastAsia="en-GB"/>
        </w:rPr>
        <w:t xml:space="preserve"> </w:t>
      </w:r>
      <w:r w:rsidR="00E60ADE" w:rsidRPr="00F736AB">
        <w:rPr>
          <w:rFonts w:ascii="Times New Roman" w:eastAsia="Times New Roman" w:hAnsi="Times New Roman"/>
          <w:color w:val="17365D" w:themeColor="text2" w:themeShade="BF"/>
          <w:sz w:val="24"/>
          <w:szCs w:val="24"/>
          <w:lang w:val="ro-RO" w:eastAsia="en-GB"/>
        </w:rPr>
        <w:t>autorităților</w:t>
      </w:r>
      <w:r w:rsidRPr="00F736AB">
        <w:rPr>
          <w:rFonts w:ascii="Times New Roman" w:eastAsia="Times New Roman" w:hAnsi="Times New Roman"/>
          <w:color w:val="17365D" w:themeColor="text2" w:themeShade="BF"/>
          <w:sz w:val="24"/>
          <w:szCs w:val="24"/>
          <w:lang w:val="ro-RO" w:eastAsia="en-GB"/>
        </w:rPr>
        <w:t xml:space="preserve"> publice centrale pe această linie;</w:t>
      </w:r>
    </w:p>
    <w:p w:rsidR="008B6A42" w:rsidRPr="00F736AB" w:rsidRDefault="008B6A42" w:rsidP="00E60ADE">
      <w:pPr>
        <w:pStyle w:val="ListParagraph"/>
        <w:numPr>
          <w:ilvl w:val="0"/>
          <w:numId w:val="22"/>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t>Metodologie de evaluare a planurilor de management pentru ariile naturale protejate elaborată și ghid de elaborare a planurilor de management realizat;</w:t>
      </w:r>
    </w:p>
    <w:p w:rsidR="008B6A42" w:rsidRPr="00F736AB" w:rsidRDefault="008B6A42" w:rsidP="00E60ADE">
      <w:pPr>
        <w:pStyle w:val="ListParagraph"/>
        <w:numPr>
          <w:ilvl w:val="0"/>
          <w:numId w:val="22"/>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t xml:space="preserve">Studiu care va defini, clasifica, inventaria și va permite </w:t>
      </w:r>
      <w:proofErr w:type="spellStart"/>
      <w:r w:rsidRPr="00F736AB">
        <w:rPr>
          <w:rFonts w:ascii="Times New Roman" w:eastAsia="Times New Roman" w:hAnsi="Times New Roman"/>
          <w:color w:val="17365D" w:themeColor="text2" w:themeShade="BF"/>
          <w:sz w:val="24"/>
          <w:szCs w:val="24"/>
          <w:lang w:val="ro-RO" w:eastAsia="en-GB"/>
        </w:rPr>
        <w:t>prioritizarea</w:t>
      </w:r>
      <w:proofErr w:type="spellEnd"/>
      <w:r w:rsidRPr="00F736AB">
        <w:rPr>
          <w:rFonts w:ascii="Times New Roman" w:eastAsia="Times New Roman" w:hAnsi="Times New Roman"/>
          <w:color w:val="17365D" w:themeColor="text2" w:themeShade="BF"/>
          <w:sz w:val="24"/>
          <w:szCs w:val="24"/>
          <w:lang w:val="ro-RO" w:eastAsia="en-GB"/>
        </w:rPr>
        <w:t xml:space="preserve"> investițiilor de refacere a ecosistemelor degradate elaborat;</w:t>
      </w:r>
    </w:p>
    <w:p w:rsidR="008B6A42" w:rsidRPr="00F736AB" w:rsidRDefault="008B6A42" w:rsidP="00E60ADE">
      <w:pPr>
        <w:pStyle w:val="ListParagraph"/>
        <w:numPr>
          <w:ilvl w:val="0"/>
          <w:numId w:val="22"/>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lastRenderedPageBreak/>
        <w:t xml:space="preserve">Propunere de politică publică elaborată în domeniul e-comerț în parteneriat </w:t>
      </w:r>
      <w:r w:rsidR="00E60ADE" w:rsidRPr="00F736AB">
        <w:rPr>
          <w:rFonts w:ascii="Times New Roman" w:eastAsia="Times New Roman" w:hAnsi="Times New Roman"/>
          <w:color w:val="17365D" w:themeColor="text2" w:themeShade="BF"/>
          <w:sz w:val="24"/>
          <w:szCs w:val="24"/>
          <w:lang w:val="ro-RO" w:eastAsia="en-GB"/>
        </w:rPr>
        <w:t>instituțiile</w:t>
      </w:r>
      <w:r w:rsidRPr="00F736AB">
        <w:rPr>
          <w:rFonts w:ascii="Times New Roman" w:eastAsia="Times New Roman" w:hAnsi="Times New Roman"/>
          <w:color w:val="17365D" w:themeColor="text2" w:themeShade="BF"/>
          <w:sz w:val="24"/>
          <w:szCs w:val="24"/>
          <w:lang w:val="ro-RO" w:eastAsia="en-GB"/>
        </w:rPr>
        <w:t xml:space="preserve"> care reglementează acest domeniu;</w:t>
      </w:r>
    </w:p>
    <w:p w:rsidR="008B6A42" w:rsidRPr="00F736AB" w:rsidRDefault="008B6A42" w:rsidP="00E60ADE">
      <w:pPr>
        <w:pStyle w:val="ListParagraph"/>
        <w:numPr>
          <w:ilvl w:val="0"/>
          <w:numId w:val="22"/>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t>Sistem unitar, integrat instituit la nivelul ANAP pentru susținerea rolului acesteia de verificare ex-ante, de monitorizare și supervizare a achizițiilor publice;</w:t>
      </w:r>
    </w:p>
    <w:p w:rsidR="008B6A42" w:rsidRPr="00F736AB" w:rsidRDefault="008B6A42" w:rsidP="00E60ADE">
      <w:pPr>
        <w:pStyle w:val="ListParagraph"/>
        <w:numPr>
          <w:ilvl w:val="0"/>
          <w:numId w:val="22"/>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t>Opt instrumente operaționale dezvoltate pentru a susține abordarea unitară în domeniul achizițiilor publice;</w:t>
      </w:r>
    </w:p>
    <w:p w:rsidR="008B6A42" w:rsidRPr="00F736AB" w:rsidRDefault="008B6A42" w:rsidP="00E60ADE">
      <w:pPr>
        <w:pStyle w:val="ListParagraph"/>
        <w:numPr>
          <w:ilvl w:val="0"/>
          <w:numId w:val="22"/>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t xml:space="preserve">Un sistem de achiziții </w:t>
      </w:r>
      <w:r w:rsidR="00E60ADE" w:rsidRPr="00F736AB">
        <w:rPr>
          <w:rFonts w:ascii="Times New Roman" w:eastAsia="Times New Roman" w:hAnsi="Times New Roman"/>
          <w:color w:val="17365D" w:themeColor="text2" w:themeShade="BF"/>
          <w:sz w:val="24"/>
          <w:szCs w:val="24"/>
          <w:lang w:val="ro-RO" w:eastAsia="en-GB"/>
        </w:rPr>
        <w:t>publice centralizate configurat.</w:t>
      </w:r>
    </w:p>
    <w:p w:rsidR="002451FD" w:rsidRPr="00F736AB" w:rsidRDefault="002451FD" w:rsidP="007D31B6">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p>
    <w:p w:rsidR="00CA5F5B" w:rsidRPr="00F736AB" w:rsidRDefault="00CA5F5B" w:rsidP="007D31B6">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p>
    <w:p w:rsidR="00CA5F5B" w:rsidRPr="00F736AB" w:rsidRDefault="008B6A42" w:rsidP="007D31B6">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t xml:space="preserve">Raportul anual de implementare detaliază progresul înregistrat în implementarea programului și este disponibil la </w:t>
      </w:r>
      <w:hyperlink r:id="rId17" w:history="1">
        <w:r w:rsidR="00E60ADE" w:rsidRPr="00F736AB">
          <w:rPr>
            <w:rStyle w:val="Hyperlink"/>
            <w:rFonts w:ascii="Times New Roman" w:eastAsia="Times New Roman" w:hAnsi="Times New Roman"/>
            <w:sz w:val="24"/>
            <w:szCs w:val="24"/>
            <w:lang w:val="ro-RO" w:eastAsia="en-GB"/>
          </w:rPr>
          <w:t>http://poca.ro/monitorizare-program/raport-anual-de-implementare/</w:t>
        </w:r>
      </w:hyperlink>
      <w:r w:rsidR="00F736AB" w:rsidRPr="00F736AB">
        <w:rPr>
          <w:rStyle w:val="Hyperlink"/>
          <w:rFonts w:ascii="Times New Roman" w:eastAsia="Times New Roman" w:hAnsi="Times New Roman"/>
          <w:sz w:val="24"/>
          <w:szCs w:val="24"/>
          <w:lang w:val="ro-RO" w:eastAsia="en-GB"/>
        </w:rPr>
        <w:t>.</w:t>
      </w:r>
      <w:r w:rsidR="00E60ADE" w:rsidRPr="00F736AB">
        <w:rPr>
          <w:rFonts w:ascii="Times New Roman" w:eastAsia="Times New Roman" w:hAnsi="Times New Roman"/>
          <w:color w:val="17365D" w:themeColor="text2" w:themeShade="BF"/>
          <w:sz w:val="24"/>
          <w:szCs w:val="24"/>
          <w:lang w:val="ro-RO" w:eastAsia="en-GB"/>
        </w:rPr>
        <w:t xml:space="preserve"> </w:t>
      </w:r>
      <w:r w:rsidRPr="00F736AB">
        <w:rPr>
          <w:rFonts w:ascii="Times New Roman" w:eastAsia="Times New Roman" w:hAnsi="Times New Roman"/>
          <w:color w:val="17365D" w:themeColor="text2" w:themeShade="BF"/>
          <w:sz w:val="24"/>
          <w:szCs w:val="24"/>
          <w:lang w:val="ro-RO" w:eastAsia="en-GB"/>
        </w:rPr>
        <w:t xml:space="preserve"> </w:t>
      </w:r>
    </w:p>
    <w:p w:rsidR="00CA5F5B" w:rsidRPr="00F736AB" w:rsidRDefault="00CA5F5B" w:rsidP="007D31B6">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p>
    <w:p w:rsidR="00CA5F5B" w:rsidRPr="00F736AB" w:rsidRDefault="00CA5F5B" w:rsidP="007D31B6">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p>
    <w:sectPr w:rsidR="00CA5F5B" w:rsidRPr="00F736AB" w:rsidSect="00C5351E">
      <w:headerReference w:type="default" r:id="rId18"/>
      <w:footerReference w:type="default" r:id="rId19"/>
      <w:pgSz w:w="11907" w:h="16840" w:code="9"/>
      <w:pgMar w:top="2127" w:right="567" w:bottom="567" w:left="1418" w:header="53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FD2" w:rsidRDefault="00050FD2" w:rsidP="00306146">
      <w:pPr>
        <w:spacing w:after="0" w:line="240" w:lineRule="auto"/>
      </w:pPr>
      <w:r>
        <w:separator/>
      </w:r>
    </w:p>
  </w:endnote>
  <w:endnote w:type="continuationSeparator" w:id="0">
    <w:p w:rsidR="00050FD2" w:rsidRDefault="00050FD2" w:rsidP="0030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146" w:rsidRDefault="00306146" w:rsidP="00306146">
    <w:pPr>
      <w:pStyle w:val="Footer"/>
      <w:jc w:val="center"/>
      <w:rPr>
        <w:rFonts w:ascii="Trebuchet MS" w:hAnsi="Trebuchet MS"/>
        <w:sz w:val="13"/>
        <w:szCs w:val="13"/>
      </w:rPr>
    </w:pPr>
  </w:p>
  <w:p w:rsidR="00306146" w:rsidRDefault="004A1EE4" w:rsidP="00306146">
    <w:pPr>
      <w:pStyle w:val="Footer"/>
      <w:jc w:val="center"/>
      <w:rPr>
        <w:rFonts w:ascii="Trebuchet MS" w:hAnsi="Trebuchet MS"/>
        <w:sz w:val="13"/>
        <w:szCs w:val="13"/>
      </w:rPr>
    </w:pPr>
    <w:r>
      <w:rPr>
        <w:rFonts w:ascii="Trebuchet MS" w:hAnsi="Trebuchet MS"/>
        <w:noProof/>
        <w:sz w:val="13"/>
        <w:szCs w:val="13"/>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3175</wp:posOffset>
              </wp:positionV>
              <wp:extent cx="6299835" cy="0"/>
              <wp:effectExtent l="19050" t="22225" r="15240" b="1587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straightConnector1">
                        <a:avLst/>
                      </a:prstGeom>
                      <a:noFill/>
                      <a:ln w="2857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1EBCC3" id="_x0000_t32" coordsize="21600,21600" o:spt="32" o:oned="t" path="m,l21600,21600e" filled="f">
              <v:path arrowok="t" fillok="f" o:connecttype="none"/>
              <o:lock v:ext="edit" shapetype="t"/>
            </v:shapetype>
            <v:shape id="AutoShape 1" o:spid="_x0000_s1026" type="#_x0000_t32" style="position:absolute;margin-left:0;margin-top:.25pt;width:496.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" strokecolor="#039" strokeweight="2.25pt"/>
          </w:pict>
        </mc:Fallback>
      </mc:AlternateContent>
    </w:r>
  </w:p>
  <w:p w:rsidR="00306146" w:rsidRPr="008D571F" w:rsidRDefault="00306146" w:rsidP="00306146">
    <w:pPr>
      <w:pStyle w:val="Footer"/>
      <w:jc w:val="center"/>
      <w:rPr>
        <w:rFonts w:ascii="Trebuchet MS" w:hAnsi="Trebuchet MS"/>
        <w:sz w:val="13"/>
        <w:szCs w:val="13"/>
        <w:lang w:val="ro-RO"/>
      </w:rPr>
    </w:pPr>
    <w:r w:rsidRPr="008D571F">
      <w:rPr>
        <w:rFonts w:ascii="Trebuchet MS" w:hAnsi="Trebuchet MS"/>
        <w:sz w:val="13"/>
        <w:szCs w:val="13"/>
        <w:lang w:val="ro-RO"/>
      </w:rPr>
      <w:t>Competența face diferența! Proiect selectat în cadrul Programului Operațional Capacitate Administrativă cofinanțat de Uniunea Europeană, din Fondul Social European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FD2" w:rsidRDefault="00050FD2" w:rsidP="00306146">
      <w:pPr>
        <w:spacing w:after="0" w:line="240" w:lineRule="auto"/>
      </w:pPr>
      <w:r>
        <w:separator/>
      </w:r>
    </w:p>
  </w:footnote>
  <w:footnote w:type="continuationSeparator" w:id="0">
    <w:p w:rsidR="00050FD2" w:rsidRDefault="00050FD2" w:rsidP="00306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146" w:rsidRDefault="00B068CD" w:rsidP="00525C60">
    <w:pPr>
      <w:pStyle w:val="Header"/>
      <w:jc w:val="center"/>
    </w:pPr>
    <w:r>
      <w:rPr>
        <w:noProof/>
        <w:lang w:val="ro-RO" w:eastAsia="ro-RO"/>
      </w:rPr>
      <w:drawing>
        <wp:inline distT="0" distB="0" distL="0" distR="0">
          <wp:extent cx="6003925" cy="629920"/>
          <wp:effectExtent l="19050" t="0" r="0" b="0"/>
          <wp:docPr id="1" name="Picture 0"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 A4 Portrait.png"/>
                  <pic:cNvPicPr>
                    <a:picLocks noChangeAspect="1" noChangeArrowheads="1"/>
                  </pic:cNvPicPr>
                </pic:nvPicPr>
                <pic:blipFill>
                  <a:blip r:embed="rId1"/>
                  <a:srcRect/>
                  <a:stretch>
                    <a:fillRect/>
                  </a:stretch>
                </pic:blipFill>
                <pic:spPr bwMode="auto">
                  <a:xfrm>
                    <a:off x="0" y="0"/>
                    <a:ext cx="6003925" cy="6299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2674"/>
    <w:multiLevelType w:val="hybridMultilevel"/>
    <w:tmpl w:val="23EED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44A33"/>
    <w:multiLevelType w:val="hybridMultilevel"/>
    <w:tmpl w:val="938277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D86D53"/>
    <w:multiLevelType w:val="hybridMultilevel"/>
    <w:tmpl w:val="912A9B50"/>
    <w:lvl w:ilvl="0" w:tplc="7E643076">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DC3758E"/>
    <w:multiLevelType w:val="hybridMultilevel"/>
    <w:tmpl w:val="2B0CCC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50B5EB9"/>
    <w:multiLevelType w:val="multilevel"/>
    <w:tmpl w:val="600C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C44DA5"/>
    <w:multiLevelType w:val="hybridMultilevel"/>
    <w:tmpl w:val="6AD4A23E"/>
    <w:lvl w:ilvl="0" w:tplc="3F8433C4">
      <w:numFmt w:val="bullet"/>
      <w:lvlText w:val="•"/>
      <w:lvlJc w:val="left"/>
      <w:pPr>
        <w:ind w:left="1080" w:hanging="72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F4AC7"/>
    <w:multiLevelType w:val="hybridMultilevel"/>
    <w:tmpl w:val="E32EE6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DBE6A8A"/>
    <w:multiLevelType w:val="hybridMultilevel"/>
    <w:tmpl w:val="1B4A56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E1141CC"/>
    <w:multiLevelType w:val="hybridMultilevel"/>
    <w:tmpl w:val="C3400EA4"/>
    <w:lvl w:ilvl="0" w:tplc="9A6ED5D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FAA172F"/>
    <w:multiLevelType w:val="hybridMultilevel"/>
    <w:tmpl w:val="381050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624212E"/>
    <w:multiLevelType w:val="hybridMultilevel"/>
    <w:tmpl w:val="1A3CC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D9386C"/>
    <w:multiLevelType w:val="hybridMultilevel"/>
    <w:tmpl w:val="75EED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972934"/>
    <w:multiLevelType w:val="hybridMultilevel"/>
    <w:tmpl w:val="F2E86E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3E12CE2"/>
    <w:multiLevelType w:val="multilevel"/>
    <w:tmpl w:val="310A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6102C5"/>
    <w:multiLevelType w:val="hybridMultilevel"/>
    <w:tmpl w:val="F89AF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9D6E2E"/>
    <w:multiLevelType w:val="hybridMultilevel"/>
    <w:tmpl w:val="7A581F14"/>
    <w:lvl w:ilvl="0" w:tplc="87F08BAA">
      <w:numFmt w:val="bullet"/>
      <w:lvlText w:val="•"/>
      <w:lvlJc w:val="left"/>
      <w:pPr>
        <w:ind w:left="1080" w:hanging="72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5A2875"/>
    <w:multiLevelType w:val="hybridMultilevel"/>
    <w:tmpl w:val="12629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1A3116"/>
    <w:multiLevelType w:val="hybridMultilevel"/>
    <w:tmpl w:val="8C68E0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61B606A"/>
    <w:multiLevelType w:val="hybridMultilevel"/>
    <w:tmpl w:val="0002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A64E57"/>
    <w:multiLevelType w:val="hybridMultilevel"/>
    <w:tmpl w:val="9E8E40B4"/>
    <w:lvl w:ilvl="0" w:tplc="A2F8AEA0">
      <w:numFmt w:val="bullet"/>
      <w:lvlText w:val="•"/>
      <w:lvlJc w:val="left"/>
      <w:pPr>
        <w:ind w:left="1080" w:hanging="72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1871FA"/>
    <w:multiLevelType w:val="hybridMultilevel"/>
    <w:tmpl w:val="9BD8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A6D31"/>
    <w:multiLevelType w:val="hybridMultilevel"/>
    <w:tmpl w:val="78AE09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6"/>
  </w:num>
  <w:num w:numId="4">
    <w:abstractNumId w:val="10"/>
  </w:num>
  <w:num w:numId="5">
    <w:abstractNumId w:val="15"/>
  </w:num>
  <w:num w:numId="6">
    <w:abstractNumId w:val="14"/>
  </w:num>
  <w:num w:numId="7">
    <w:abstractNumId w:val="5"/>
  </w:num>
  <w:num w:numId="8">
    <w:abstractNumId w:val="13"/>
  </w:num>
  <w:num w:numId="9">
    <w:abstractNumId w:val="4"/>
  </w:num>
  <w:num w:numId="10">
    <w:abstractNumId w:val="11"/>
  </w:num>
  <w:num w:numId="11">
    <w:abstractNumId w:val="19"/>
  </w:num>
  <w:num w:numId="12">
    <w:abstractNumId w:val="0"/>
  </w:num>
  <w:num w:numId="13">
    <w:abstractNumId w:val="18"/>
  </w:num>
  <w:num w:numId="14">
    <w:abstractNumId w:val="20"/>
  </w:num>
  <w:num w:numId="15">
    <w:abstractNumId w:val="9"/>
  </w:num>
  <w:num w:numId="16">
    <w:abstractNumId w:val="21"/>
  </w:num>
  <w:num w:numId="17">
    <w:abstractNumId w:val="3"/>
  </w:num>
  <w:num w:numId="18">
    <w:abstractNumId w:val="1"/>
  </w:num>
  <w:num w:numId="19">
    <w:abstractNumId w:val="12"/>
  </w:num>
  <w:num w:numId="20">
    <w:abstractNumId w:val="7"/>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46"/>
    <w:rsid w:val="000315EB"/>
    <w:rsid w:val="00050FD2"/>
    <w:rsid w:val="00054AFE"/>
    <w:rsid w:val="000744FF"/>
    <w:rsid w:val="00082755"/>
    <w:rsid w:val="00093C27"/>
    <w:rsid w:val="0009420A"/>
    <w:rsid w:val="00123AF5"/>
    <w:rsid w:val="00141856"/>
    <w:rsid w:val="001A7982"/>
    <w:rsid w:val="001B32F0"/>
    <w:rsid w:val="00203F86"/>
    <w:rsid w:val="0021452A"/>
    <w:rsid w:val="00224E66"/>
    <w:rsid w:val="002270F1"/>
    <w:rsid w:val="002406FC"/>
    <w:rsid w:val="002451FD"/>
    <w:rsid w:val="00276779"/>
    <w:rsid w:val="0028662D"/>
    <w:rsid w:val="002B23AB"/>
    <w:rsid w:val="002C2A70"/>
    <w:rsid w:val="00302517"/>
    <w:rsid w:val="00306146"/>
    <w:rsid w:val="00311505"/>
    <w:rsid w:val="00317E74"/>
    <w:rsid w:val="00321214"/>
    <w:rsid w:val="00330639"/>
    <w:rsid w:val="00331EBE"/>
    <w:rsid w:val="00342ADF"/>
    <w:rsid w:val="00342C21"/>
    <w:rsid w:val="00350D1A"/>
    <w:rsid w:val="00361E9C"/>
    <w:rsid w:val="003961D3"/>
    <w:rsid w:val="003A39E1"/>
    <w:rsid w:val="00467CCB"/>
    <w:rsid w:val="00476735"/>
    <w:rsid w:val="004A1EE4"/>
    <w:rsid w:val="004B3A42"/>
    <w:rsid w:val="004C6962"/>
    <w:rsid w:val="004D4594"/>
    <w:rsid w:val="004F4B9D"/>
    <w:rsid w:val="00525C60"/>
    <w:rsid w:val="00557C3C"/>
    <w:rsid w:val="0057195C"/>
    <w:rsid w:val="005952C7"/>
    <w:rsid w:val="005A6869"/>
    <w:rsid w:val="005A74B9"/>
    <w:rsid w:val="005E58E9"/>
    <w:rsid w:val="006104EE"/>
    <w:rsid w:val="0066341E"/>
    <w:rsid w:val="00694C63"/>
    <w:rsid w:val="006B6308"/>
    <w:rsid w:val="006F2BFC"/>
    <w:rsid w:val="00700728"/>
    <w:rsid w:val="00752636"/>
    <w:rsid w:val="00767E32"/>
    <w:rsid w:val="00773512"/>
    <w:rsid w:val="007D31B6"/>
    <w:rsid w:val="008326CC"/>
    <w:rsid w:val="008B6A42"/>
    <w:rsid w:val="008C5F83"/>
    <w:rsid w:val="008D571F"/>
    <w:rsid w:val="0090064A"/>
    <w:rsid w:val="009041F3"/>
    <w:rsid w:val="0093442E"/>
    <w:rsid w:val="0094598A"/>
    <w:rsid w:val="009A3A4C"/>
    <w:rsid w:val="009A64FF"/>
    <w:rsid w:val="00A31719"/>
    <w:rsid w:val="00A62A63"/>
    <w:rsid w:val="00A71B86"/>
    <w:rsid w:val="00AF4DEC"/>
    <w:rsid w:val="00B068CD"/>
    <w:rsid w:val="00B7372A"/>
    <w:rsid w:val="00BA0BF0"/>
    <w:rsid w:val="00BA4BD8"/>
    <w:rsid w:val="00BD72BC"/>
    <w:rsid w:val="00BE098E"/>
    <w:rsid w:val="00C179C7"/>
    <w:rsid w:val="00C406A0"/>
    <w:rsid w:val="00C5351E"/>
    <w:rsid w:val="00C54501"/>
    <w:rsid w:val="00C601B3"/>
    <w:rsid w:val="00C90F0F"/>
    <w:rsid w:val="00CA5F5B"/>
    <w:rsid w:val="00CC1B26"/>
    <w:rsid w:val="00CC23E6"/>
    <w:rsid w:val="00CC37FB"/>
    <w:rsid w:val="00CD240E"/>
    <w:rsid w:val="00CD325B"/>
    <w:rsid w:val="00CF3C8D"/>
    <w:rsid w:val="00D02DA3"/>
    <w:rsid w:val="00D811C8"/>
    <w:rsid w:val="00DB0AEB"/>
    <w:rsid w:val="00DF06B8"/>
    <w:rsid w:val="00E60ADE"/>
    <w:rsid w:val="00E62A5C"/>
    <w:rsid w:val="00E904D3"/>
    <w:rsid w:val="00EA7938"/>
    <w:rsid w:val="00EB0904"/>
    <w:rsid w:val="00ED3836"/>
    <w:rsid w:val="00ED40F4"/>
    <w:rsid w:val="00EF75DA"/>
    <w:rsid w:val="00F07EBD"/>
    <w:rsid w:val="00F2783E"/>
    <w:rsid w:val="00F35B65"/>
    <w:rsid w:val="00F46C87"/>
    <w:rsid w:val="00F71F59"/>
    <w:rsid w:val="00F72FDC"/>
    <w:rsid w:val="00F736AB"/>
    <w:rsid w:val="00F92F20"/>
    <w:rsid w:val="00FA19D7"/>
    <w:rsid w:val="00FA59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39"/>
    </o:shapedefaults>
    <o:shapelayout v:ext="edit">
      <o:idmap v:ext="edit" data="1"/>
    </o:shapelayout>
  </w:shapeDefaults>
  <w:decimalSymbol w:val=","/>
  <w:listSeparator w:val=";"/>
  <w15:docId w15:val="{FA9A2B33-F480-449B-8690-ED76D37E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A4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1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6146"/>
  </w:style>
  <w:style w:type="paragraph" w:styleId="Footer">
    <w:name w:val="footer"/>
    <w:basedOn w:val="Normal"/>
    <w:link w:val="FooterChar"/>
    <w:uiPriority w:val="99"/>
    <w:semiHidden/>
    <w:unhideWhenUsed/>
    <w:rsid w:val="003061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6146"/>
  </w:style>
  <w:style w:type="paragraph" w:styleId="BalloonText">
    <w:name w:val="Balloon Text"/>
    <w:basedOn w:val="Normal"/>
    <w:link w:val="BalloonTextChar"/>
    <w:uiPriority w:val="99"/>
    <w:semiHidden/>
    <w:unhideWhenUsed/>
    <w:rsid w:val="00306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146"/>
    <w:rPr>
      <w:rFonts w:ascii="Tahoma" w:hAnsi="Tahoma" w:cs="Tahoma"/>
      <w:sz w:val="16"/>
      <w:szCs w:val="16"/>
    </w:rPr>
  </w:style>
  <w:style w:type="paragraph" w:styleId="NoSpacing">
    <w:name w:val="No Spacing"/>
    <w:uiPriority w:val="1"/>
    <w:qFormat/>
    <w:rsid w:val="002C2A70"/>
    <w:rPr>
      <w:sz w:val="22"/>
      <w:szCs w:val="22"/>
      <w:lang w:val="en-US" w:eastAsia="en-US"/>
    </w:rPr>
  </w:style>
  <w:style w:type="paragraph" w:styleId="ListParagraph">
    <w:name w:val="List Paragraph"/>
    <w:aliases w:val="Normal bullet 2,List Paragraph1"/>
    <w:basedOn w:val="Normal"/>
    <w:link w:val="ListParagraphChar"/>
    <w:uiPriority w:val="34"/>
    <w:qFormat/>
    <w:rsid w:val="008D571F"/>
    <w:pPr>
      <w:ind w:left="720"/>
      <w:contextualSpacing/>
    </w:pPr>
  </w:style>
  <w:style w:type="character" w:styleId="CommentReference">
    <w:name w:val="annotation reference"/>
    <w:basedOn w:val="DefaultParagraphFont"/>
    <w:uiPriority w:val="99"/>
    <w:semiHidden/>
    <w:unhideWhenUsed/>
    <w:rsid w:val="009041F3"/>
    <w:rPr>
      <w:sz w:val="16"/>
      <w:szCs w:val="16"/>
    </w:rPr>
  </w:style>
  <w:style w:type="paragraph" w:styleId="CommentText">
    <w:name w:val="annotation text"/>
    <w:basedOn w:val="Normal"/>
    <w:link w:val="CommentTextChar"/>
    <w:uiPriority w:val="99"/>
    <w:semiHidden/>
    <w:unhideWhenUsed/>
    <w:rsid w:val="009041F3"/>
    <w:pPr>
      <w:spacing w:line="240" w:lineRule="auto"/>
    </w:pPr>
    <w:rPr>
      <w:sz w:val="20"/>
      <w:szCs w:val="20"/>
    </w:rPr>
  </w:style>
  <w:style w:type="character" w:customStyle="1" w:styleId="CommentTextChar">
    <w:name w:val="Comment Text Char"/>
    <w:basedOn w:val="DefaultParagraphFont"/>
    <w:link w:val="CommentText"/>
    <w:uiPriority w:val="99"/>
    <w:semiHidden/>
    <w:rsid w:val="009041F3"/>
    <w:rPr>
      <w:lang w:val="en-US" w:eastAsia="en-US"/>
    </w:rPr>
  </w:style>
  <w:style w:type="paragraph" w:styleId="CommentSubject">
    <w:name w:val="annotation subject"/>
    <w:basedOn w:val="CommentText"/>
    <w:next w:val="CommentText"/>
    <w:link w:val="CommentSubjectChar"/>
    <w:uiPriority w:val="99"/>
    <w:semiHidden/>
    <w:unhideWhenUsed/>
    <w:rsid w:val="009041F3"/>
    <w:rPr>
      <w:b/>
      <w:bCs/>
    </w:rPr>
  </w:style>
  <w:style w:type="character" w:customStyle="1" w:styleId="CommentSubjectChar">
    <w:name w:val="Comment Subject Char"/>
    <w:basedOn w:val="CommentTextChar"/>
    <w:link w:val="CommentSubject"/>
    <w:uiPriority w:val="99"/>
    <w:semiHidden/>
    <w:rsid w:val="009041F3"/>
    <w:rPr>
      <w:b/>
      <w:bCs/>
      <w:lang w:val="en-US" w:eastAsia="en-US"/>
    </w:rPr>
  </w:style>
  <w:style w:type="table" w:styleId="TableGrid">
    <w:name w:val="Table Grid"/>
    <w:basedOn w:val="TableNormal"/>
    <w:uiPriority w:val="59"/>
    <w:rsid w:val="00C53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ist Paragraph1 Char"/>
    <w:link w:val="ListParagraph"/>
    <w:uiPriority w:val="34"/>
    <w:rsid w:val="00CD240E"/>
    <w:rPr>
      <w:sz w:val="22"/>
      <w:szCs w:val="22"/>
      <w:lang w:val="en-US" w:eastAsia="en-US"/>
    </w:rPr>
  </w:style>
  <w:style w:type="character" w:styleId="Hyperlink">
    <w:name w:val="Hyperlink"/>
    <w:basedOn w:val="DefaultParagraphFont"/>
    <w:uiPriority w:val="99"/>
    <w:unhideWhenUsed/>
    <w:rsid w:val="0028662D"/>
    <w:rPr>
      <w:color w:val="0000FF" w:themeColor="hyperlink"/>
      <w:u w:val="single"/>
    </w:rPr>
  </w:style>
  <w:style w:type="paragraph" w:styleId="Subtitle">
    <w:name w:val="Subtitle"/>
    <w:basedOn w:val="Normal"/>
    <w:next w:val="Normal"/>
    <w:link w:val="SubtitleChar"/>
    <w:uiPriority w:val="11"/>
    <w:qFormat/>
    <w:rsid w:val="006B6308"/>
    <w:pPr>
      <w:numPr>
        <w:ilvl w:val="1"/>
      </w:numPr>
      <w:spacing w:after="0" w:line="240" w:lineRule="auto"/>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6B6308"/>
    <w:rPr>
      <w:rFonts w:ascii="Cambria" w:eastAsia="Times New Roman" w:hAnsi="Cambria"/>
      <w:i/>
      <w:iCs/>
      <w:color w:val="4F81BD"/>
      <w:spacing w:val="15"/>
      <w:sz w:val="24"/>
      <w:szCs w:val="24"/>
      <w:lang w:val="en-US" w:eastAsia="en-US"/>
    </w:rPr>
  </w:style>
  <w:style w:type="character" w:styleId="UnresolvedMention">
    <w:name w:val="Unresolved Mention"/>
    <w:basedOn w:val="DefaultParagraphFont"/>
    <w:uiPriority w:val="99"/>
    <w:semiHidden/>
    <w:unhideWhenUsed/>
    <w:rsid w:val="00093C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590166">
      <w:bodyDiv w:val="1"/>
      <w:marLeft w:val="0"/>
      <w:marRight w:val="0"/>
      <w:marTop w:val="0"/>
      <w:marBottom w:val="0"/>
      <w:divBdr>
        <w:top w:val="none" w:sz="0" w:space="0" w:color="auto"/>
        <w:left w:val="none" w:sz="0" w:space="0" w:color="auto"/>
        <w:bottom w:val="none" w:sz="0" w:space="0" w:color="auto"/>
        <w:right w:val="none" w:sz="0" w:space="0" w:color="auto"/>
      </w:divBdr>
    </w:div>
    <w:div w:id="1069184439">
      <w:bodyDiv w:val="1"/>
      <w:marLeft w:val="0"/>
      <w:marRight w:val="0"/>
      <w:marTop w:val="0"/>
      <w:marBottom w:val="0"/>
      <w:divBdr>
        <w:top w:val="none" w:sz="0" w:space="0" w:color="auto"/>
        <w:left w:val="none" w:sz="0" w:space="0" w:color="auto"/>
        <w:bottom w:val="none" w:sz="0" w:space="0" w:color="auto"/>
        <w:right w:val="none" w:sz="0" w:space="0" w:color="auto"/>
      </w:divBdr>
    </w:div>
    <w:div w:id="1090009779">
      <w:bodyDiv w:val="1"/>
      <w:marLeft w:val="0"/>
      <w:marRight w:val="0"/>
      <w:marTop w:val="0"/>
      <w:marBottom w:val="0"/>
      <w:divBdr>
        <w:top w:val="none" w:sz="0" w:space="0" w:color="auto"/>
        <w:left w:val="none" w:sz="0" w:space="0" w:color="auto"/>
        <w:bottom w:val="none" w:sz="0" w:space="0" w:color="auto"/>
        <w:right w:val="none" w:sz="0" w:space="0" w:color="auto"/>
      </w:divBdr>
    </w:div>
    <w:div w:id="188759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ca.ro/cadru-strategic/prezentare-poca-2014-2020/" TargetMode="External"/><Relationship Id="rId13" Type="http://schemas.openxmlformats.org/officeDocument/2006/relationships/hyperlink" Target="http://sgg.gov.ro/docs/File/UPP/doc/proiecte_finale/Strategia%20privind%20mai%20buna%20reglementare%202014%20-%202020_3%20decembrie_varianta%20finala.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pfbl.mdrap.ro/documents/strategia_administratiei_publice/Plan_integrat_de_simplificare-martie_2017.pdf" TargetMode="External"/><Relationship Id="rId17" Type="http://schemas.openxmlformats.org/officeDocument/2006/relationships/hyperlink" Target="http://poca.ro/monitorizare-program/raport-anual-de-implementare/" TargetMode="External"/><Relationship Id="rId2" Type="http://schemas.openxmlformats.org/officeDocument/2006/relationships/numbering" Target="numbering.xml"/><Relationship Id="rId16" Type="http://schemas.openxmlformats.org/officeDocument/2006/relationships/hyperlink" Target="http://poca.ro/solicitare-finanta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ro/strategii-si-politici/strategii-nationale/" TargetMode="External"/><Relationship Id="rId5" Type="http://schemas.openxmlformats.org/officeDocument/2006/relationships/webSettings" Target="webSettings.xml"/><Relationship Id="rId15" Type="http://schemas.openxmlformats.org/officeDocument/2006/relationships/hyperlink" Target="http://www.anfp.gov.ro/R/Doc/2016/Strategii/strategia%20functiei%20publice.pdf" TargetMode="External"/><Relationship Id="rId10" Type="http://schemas.openxmlformats.org/officeDocument/2006/relationships/hyperlink" Target="http://www.just.ro/strategii-si-politici/strategii-national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fbl.mdrap.ro/documents/strategia_administratiei_publice/Strategia_pentru_consolidarea_administratiei_publice_2014-2020.pdf" TargetMode="External"/><Relationship Id="rId14" Type="http://schemas.openxmlformats.org/officeDocument/2006/relationships/hyperlink" Target="http://www.anrmap.ro/ro/web/public/strategia-nationala-in-domeniul-achizitiilor-publ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6876C-DC71-479E-B628-B9B11783A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mircea.pavel</dc:creator>
  <cp:lastModifiedBy>steluta.bulaceanu</cp:lastModifiedBy>
  <cp:revision>2</cp:revision>
  <cp:lastPrinted>2016-03-31T11:01:00Z</cp:lastPrinted>
  <dcterms:created xsi:type="dcterms:W3CDTF">2018-07-05T13:58:00Z</dcterms:created>
  <dcterms:modified xsi:type="dcterms:W3CDTF">2018-07-05T13:58:00Z</dcterms:modified>
</cp:coreProperties>
</file>