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19" w:rsidRPr="00F736AB" w:rsidRDefault="00A31719" w:rsidP="006B6308">
      <w:pPr>
        <w:pStyle w:val="Subtitle"/>
        <w:jc w:val="center"/>
        <w:rPr>
          <w:rFonts w:ascii="Times New Roman" w:hAnsi="Times New Roman"/>
          <w:b/>
          <w:i w:val="0"/>
          <w:color w:val="0070C0"/>
          <w:sz w:val="32"/>
          <w:szCs w:val="32"/>
          <w:lang w:val="ro-RO"/>
        </w:rPr>
      </w:pPr>
      <w:bookmarkStart w:id="0" w:name="_GoBack"/>
      <w:bookmarkEnd w:id="0"/>
      <w:r w:rsidRPr="00F736AB">
        <w:rPr>
          <w:rFonts w:ascii="Times New Roman" w:hAnsi="Times New Roman"/>
          <w:b/>
          <w:i w:val="0"/>
          <w:color w:val="0070C0"/>
          <w:sz w:val="32"/>
          <w:szCs w:val="32"/>
          <w:lang w:val="ro-RO"/>
        </w:rPr>
        <w:t>RAPORT ANUAL DE IMPLEMENTARE 201</w:t>
      </w:r>
      <w:r w:rsidR="002003D7">
        <w:rPr>
          <w:rFonts w:ascii="Times New Roman" w:hAnsi="Times New Roman"/>
          <w:b/>
          <w:i w:val="0"/>
          <w:color w:val="0070C0"/>
          <w:sz w:val="32"/>
          <w:szCs w:val="32"/>
          <w:lang w:val="ro-RO"/>
        </w:rPr>
        <w:t>7</w:t>
      </w:r>
    </w:p>
    <w:p w:rsidR="00C5351E" w:rsidRPr="00F736AB" w:rsidRDefault="00C5351E" w:rsidP="006B6308">
      <w:pPr>
        <w:pStyle w:val="Subtitle"/>
        <w:jc w:val="center"/>
        <w:rPr>
          <w:rFonts w:ascii="Times New Roman" w:hAnsi="Times New Roman"/>
          <w:b/>
          <w:color w:val="0070C0"/>
          <w:sz w:val="32"/>
          <w:szCs w:val="32"/>
          <w:lang w:val="ro-RO"/>
        </w:rPr>
      </w:pPr>
      <w:r w:rsidRPr="00F736AB">
        <w:rPr>
          <w:rFonts w:ascii="Times New Roman" w:hAnsi="Times New Roman"/>
          <w:b/>
          <w:i w:val="0"/>
          <w:color w:val="0070C0"/>
          <w:sz w:val="32"/>
          <w:szCs w:val="32"/>
          <w:lang w:val="ro-RO"/>
        </w:rPr>
        <w:t xml:space="preserve">REZUMAT </w:t>
      </w:r>
      <w:r w:rsidR="00A31719" w:rsidRPr="00F736AB">
        <w:rPr>
          <w:rFonts w:ascii="Times New Roman" w:hAnsi="Times New Roman"/>
          <w:b/>
          <w:i w:val="0"/>
          <w:color w:val="0070C0"/>
          <w:sz w:val="32"/>
          <w:szCs w:val="32"/>
          <w:lang w:val="ro-RO"/>
        </w:rPr>
        <w:t>PENTRU CETĂȚENI</w:t>
      </w:r>
    </w:p>
    <w:p w:rsidR="006B6308" w:rsidRPr="00F736AB" w:rsidRDefault="006B6308" w:rsidP="006B6308">
      <w:pPr>
        <w:pStyle w:val="Subtitle"/>
        <w:rPr>
          <w:rFonts w:ascii="Times New Roman" w:hAnsi="Times New Roman"/>
          <w:b/>
          <w:color w:val="0070C0"/>
          <w:lang w:val="ro-RO"/>
        </w:rPr>
      </w:pPr>
    </w:p>
    <w:p w:rsidR="006104EE" w:rsidRPr="00F736AB" w:rsidRDefault="006B6308" w:rsidP="006B6308">
      <w:pPr>
        <w:pStyle w:val="Subtitle"/>
        <w:rPr>
          <w:rFonts w:ascii="Times New Roman" w:hAnsi="Times New Roman"/>
          <w:color w:val="17365D"/>
          <w:lang w:val="ro-RO"/>
        </w:rPr>
      </w:pPr>
      <w:r w:rsidRPr="00F736AB">
        <w:rPr>
          <w:rFonts w:ascii="Times New Roman" w:hAnsi="Times New Roman"/>
          <w:b/>
          <w:color w:val="0070C0"/>
          <w:lang w:val="ro-RO"/>
        </w:rPr>
        <w:t>Context</w:t>
      </w:r>
      <w:r w:rsidRPr="00F736AB">
        <w:rPr>
          <w:rFonts w:ascii="Times New Roman" w:hAnsi="Times New Roman"/>
          <w:b/>
          <w:color w:val="17365D"/>
          <w:lang w:val="ro-RO"/>
        </w:rPr>
        <w:t xml:space="preserve"> </w:t>
      </w:r>
      <w:r w:rsidRPr="00F736AB">
        <w:rPr>
          <w:rFonts w:ascii="Times New Roman" w:hAnsi="Times New Roman"/>
          <w:b/>
          <w:color w:val="0070C0"/>
          <w:lang w:val="ro-RO"/>
        </w:rPr>
        <w:t>general</w:t>
      </w:r>
    </w:p>
    <w:p w:rsidR="00C5351E" w:rsidRPr="00F736AB" w:rsidRDefault="00C5351E" w:rsidP="00C5351E">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Programul Operațional Capacitate Administrativă 2014 – 2020 (POCA) a fost aprobat </w:t>
      </w:r>
      <w:r w:rsidR="0009420A" w:rsidRPr="00F736AB">
        <w:rPr>
          <w:rFonts w:ascii="Times New Roman" w:eastAsia="Times New Roman" w:hAnsi="Times New Roman"/>
          <w:color w:val="17365D" w:themeColor="text2" w:themeShade="BF"/>
          <w:sz w:val="24"/>
          <w:szCs w:val="24"/>
          <w:lang w:val="ro-RO" w:eastAsia="en-GB"/>
        </w:rPr>
        <w:t>de</w:t>
      </w:r>
      <w:r w:rsidRPr="00F736AB">
        <w:rPr>
          <w:rFonts w:ascii="Times New Roman" w:eastAsia="Times New Roman" w:hAnsi="Times New Roman"/>
          <w:color w:val="17365D" w:themeColor="text2" w:themeShade="BF"/>
          <w:sz w:val="24"/>
          <w:szCs w:val="24"/>
          <w:lang w:val="ro-RO" w:eastAsia="en-GB"/>
        </w:rPr>
        <w:t xml:space="preserve"> </w:t>
      </w:r>
      <w:r w:rsidR="005E58E9" w:rsidRPr="00F736AB">
        <w:rPr>
          <w:rFonts w:ascii="Times New Roman" w:eastAsia="Times New Roman" w:hAnsi="Times New Roman"/>
          <w:color w:val="17365D" w:themeColor="text2" w:themeShade="BF"/>
          <w:sz w:val="24"/>
          <w:szCs w:val="24"/>
          <w:lang w:val="ro-RO" w:eastAsia="en-GB"/>
        </w:rPr>
        <w:t>Comisi</w:t>
      </w:r>
      <w:r w:rsidR="0009420A" w:rsidRPr="00F736AB">
        <w:rPr>
          <w:rFonts w:ascii="Times New Roman" w:eastAsia="Times New Roman" w:hAnsi="Times New Roman"/>
          <w:color w:val="17365D" w:themeColor="text2" w:themeShade="BF"/>
          <w:sz w:val="24"/>
          <w:szCs w:val="24"/>
          <w:lang w:val="ro-RO" w:eastAsia="en-GB"/>
        </w:rPr>
        <w:t>a</w:t>
      </w:r>
      <w:r w:rsidR="005E58E9" w:rsidRPr="00F736AB">
        <w:rPr>
          <w:rFonts w:ascii="Times New Roman" w:eastAsia="Times New Roman" w:hAnsi="Times New Roman"/>
          <w:color w:val="17365D" w:themeColor="text2" w:themeShade="BF"/>
          <w:sz w:val="24"/>
          <w:szCs w:val="24"/>
          <w:lang w:val="ro-RO" w:eastAsia="en-GB"/>
        </w:rPr>
        <w:t xml:space="preserve"> Europe</w:t>
      </w:r>
      <w:r w:rsidR="0009420A" w:rsidRPr="00F736AB">
        <w:rPr>
          <w:rFonts w:ascii="Times New Roman" w:eastAsia="Times New Roman" w:hAnsi="Times New Roman"/>
          <w:color w:val="17365D" w:themeColor="text2" w:themeShade="BF"/>
          <w:sz w:val="24"/>
          <w:szCs w:val="24"/>
          <w:lang w:val="ro-RO" w:eastAsia="en-GB"/>
        </w:rPr>
        <w:t>a</w:t>
      </w:r>
      <w:r w:rsidR="005E58E9" w:rsidRPr="00F736AB">
        <w:rPr>
          <w:rFonts w:ascii="Times New Roman" w:eastAsia="Times New Roman" w:hAnsi="Times New Roman"/>
          <w:color w:val="17365D" w:themeColor="text2" w:themeShade="BF"/>
          <w:sz w:val="24"/>
          <w:szCs w:val="24"/>
          <w:lang w:val="ro-RO" w:eastAsia="en-GB"/>
        </w:rPr>
        <w:t>n</w:t>
      </w:r>
      <w:r w:rsidR="0009420A" w:rsidRPr="00F736AB">
        <w:rPr>
          <w:rFonts w:ascii="Times New Roman" w:eastAsia="Times New Roman" w:hAnsi="Times New Roman"/>
          <w:color w:val="17365D" w:themeColor="text2" w:themeShade="BF"/>
          <w:sz w:val="24"/>
          <w:szCs w:val="24"/>
          <w:lang w:val="ro-RO" w:eastAsia="en-GB"/>
        </w:rPr>
        <w:t>ă</w:t>
      </w:r>
      <w:r w:rsidR="002003D7">
        <w:rPr>
          <w:rFonts w:ascii="Times New Roman" w:eastAsia="Times New Roman" w:hAnsi="Times New Roman"/>
          <w:color w:val="17365D" w:themeColor="text2" w:themeShade="BF"/>
          <w:sz w:val="24"/>
          <w:szCs w:val="24"/>
          <w:lang w:val="ro-RO" w:eastAsia="en-GB"/>
        </w:rPr>
        <w:t xml:space="preserve"> (CE)</w:t>
      </w:r>
      <w:r w:rsidR="0009420A" w:rsidRPr="00F736AB">
        <w:rPr>
          <w:rFonts w:ascii="Times New Roman" w:eastAsia="Times New Roman" w:hAnsi="Times New Roman"/>
          <w:color w:val="17365D" w:themeColor="text2" w:themeShade="BF"/>
          <w:sz w:val="24"/>
          <w:szCs w:val="24"/>
          <w:lang w:val="ro-RO" w:eastAsia="en-GB"/>
        </w:rPr>
        <w:t xml:space="preserve"> în </w:t>
      </w:r>
      <w:r w:rsidRPr="00F736AB">
        <w:rPr>
          <w:rFonts w:ascii="Times New Roman" w:eastAsia="Times New Roman" w:hAnsi="Times New Roman"/>
          <w:color w:val="17365D" w:themeColor="text2" w:themeShade="BF"/>
          <w:sz w:val="24"/>
          <w:szCs w:val="24"/>
          <w:lang w:val="ro-RO" w:eastAsia="en-GB"/>
        </w:rPr>
        <w:t>data de 25.02.2015</w:t>
      </w:r>
      <w:r w:rsidR="005E58E9" w:rsidRPr="00F736AB">
        <w:rPr>
          <w:rFonts w:ascii="Times New Roman" w:eastAsia="Times New Roman" w:hAnsi="Times New Roman"/>
          <w:color w:val="17365D" w:themeColor="text2" w:themeShade="BF"/>
          <w:sz w:val="24"/>
          <w:szCs w:val="24"/>
          <w:lang w:val="ro-RO" w:eastAsia="en-GB"/>
        </w:rPr>
        <w:t xml:space="preserve"> și modificat </w:t>
      </w:r>
      <w:r w:rsidR="0009420A" w:rsidRPr="00F736AB">
        <w:rPr>
          <w:rFonts w:ascii="Times New Roman" w:eastAsia="Times New Roman" w:hAnsi="Times New Roman"/>
          <w:color w:val="17365D" w:themeColor="text2" w:themeShade="BF"/>
          <w:sz w:val="24"/>
          <w:szCs w:val="24"/>
          <w:lang w:val="ro-RO" w:eastAsia="en-GB"/>
        </w:rPr>
        <w:t xml:space="preserve">în </w:t>
      </w:r>
      <w:r w:rsidR="005E58E9" w:rsidRPr="00F736AB">
        <w:rPr>
          <w:rFonts w:ascii="Times New Roman" w:eastAsia="Times New Roman" w:hAnsi="Times New Roman"/>
          <w:color w:val="17365D" w:themeColor="text2" w:themeShade="BF"/>
          <w:sz w:val="24"/>
          <w:szCs w:val="24"/>
          <w:lang w:val="ro-RO" w:eastAsia="en-GB"/>
        </w:rPr>
        <w:t>data de 29.03.2017</w:t>
      </w:r>
      <w:r w:rsidRPr="00F736AB">
        <w:rPr>
          <w:rFonts w:ascii="Times New Roman" w:eastAsia="Times New Roman" w:hAnsi="Times New Roman"/>
          <w:color w:val="17365D" w:themeColor="text2" w:themeShade="BF"/>
          <w:sz w:val="24"/>
          <w:szCs w:val="24"/>
          <w:lang w:val="ro-RO" w:eastAsia="en-GB"/>
        </w:rPr>
        <w:t>.</w:t>
      </w:r>
    </w:p>
    <w:p w:rsidR="0028662D" w:rsidRPr="00F736AB" w:rsidRDefault="00476735"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Suma alocată pentru program este de 55</w:t>
      </w:r>
      <w:r w:rsidR="00A31719" w:rsidRPr="00F736AB">
        <w:rPr>
          <w:rFonts w:ascii="Times New Roman" w:eastAsia="Times New Roman" w:hAnsi="Times New Roman"/>
          <w:color w:val="17365D" w:themeColor="text2" w:themeShade="BF"/>
          <w:sz w:val="24"/>
          <w:szCs w:val="24"/>
          <w:lang w:val="ro-RO" w:eastAsia="en-GB"/>
        </w:rPr>
        <w:t xml:space="preserve">3,19 mil. euro </w:t>
      </w:r>
      <w:r w:rsidR="007D31B6" w:rsidRPr="00F736AB">
        <w:rPr>
          <w:rFonts w:ascii="Times New Roman" w:eastAsia="Times New Roman" w:hAnsi="Times New Roman"/>
          <w:color w:val="17365D" w:themeColor="text2" w:themeShade="BF"/>
          <w:sz w:val="24"/>
          <w:szCs w:val="24"/>
          <w:lang w:val="ro-RO" w:eastAsia="en-GB"/>
        </w:rPr>
        <w:t xml:space="preserve">din </w:t>
      </w:r>
      <w:r w:rsidR="00A31719" w:rsidRPr="00F736AB">
        <w:rPr>
          <w:rFonts w:ascii="Times New Roman" w:eastAsia="Times New Roman" w:hAnsi="Times New Roman"/>
          <w:color w:val="17365D" w:themeColor="text2" w:themeShade="BF"/>
          <w:sz w:val="24"/>
          <w:szCs w:val="24"/>
          <w:lang w:val="ro-RO" w:eastAsia="en-GB"/>
        </w:rPr>
        <w:t>F</w:t>
      </w:r>
      <w:r w:rsidR="007D31B6" w:rsidRPr="00F736AB">
        <w:rPr>
          <w:rFonts w:ascii="Times New Roman" w:eastAsia="Times New Roman" w:hAnsi="Times New Roman"/>
          <w:color w:val="17365D" w:themeColor="text2" w:themeShade="BF"/>
          <w:sz w:val="24"/>
          <w:szCs w:val="24"/>
          <w:lang w:val="ro-RO" w:eastAsia="en-GB"/>
        </w:rPr>
        <w:t xml:space="preserve">ondul </w:t>
      </w:r>
      <w:r w:rsidR="00A31719" w:rsidRPr="00F736AB">
        <w:rPr>
          <w:rFonts w:ascii="Times New Roman" w:eastAsia="Times New Roman" w:hAnsi="Times New Roman"/>
          <w:color w:val="17365D" w:themeColor="text2" w:themeShade="BF"/>
          <w:sz w:val="24"/>
          <w:szCs w:val="24"/>
          <w:lang w:val="ro-RO" w:eastAsia="en-GB"/>
        </w:rPr>
        <w:t>S</w:t>
      </w:r>
      <w:r w:rsidR="007D31B6" w:rsidRPr="00F736AB">
        <w:rPr>
          <w:rFonts w:ascii="Times New Roman" w:eastAsia="Times New Roman" w:hAnsi="Times New Roman"/>
          <w:color w:val="17365D" w:themeColor="text2" w:themeShade="BF"/>
          <w:sz w:val="24"/>
          <w:szCs w:val="24"/>
          <w:lang w:val="ro-RO" w:eastAsia="en-GB"/>
        </w:rPr>
        <w:t xml:space="preserve">ocial </w:t>
      </w:r>
      <w:r w:rsidR="00A31719" w:rsidRPr="00F736AB">
        <w:rPr>
          <w:rFonts w:ascii="Times New Roman" w:eastAsia="Times New Roman" w:hAnsi="Times New Roman"/>
          <w:color w:val="17365D" w:themeColor="text2" w:themeShade="BF"/>
          <w:sz w:val="24"/>
          <w:szCs w:val="24"/>
          <w:lang w:val="ro-RO" w:eastAsia="en-GB"/>
        </w:rPr>
        <w:t>E</w:t>
      </w:r>
      <w:r w:rsidR="007D31B6" w:rsidRPr="00F736AB">
        <w:rPr>
          <w:rFonts w:ascii="Times New Roman" w:eastAsia="Times New Roman" w:hAnsi="Times New Roman"/>
          <w:color w:val="17365D" w:themeColor="text2" w:themeShade="BF"/>
          <w:sz w:val="24"/>
          <w:szCs w:val="24"/>
          <w:lang w:val="ro-RO" w:eastAsia="en-GB"/>
        </w:rPr>
        <w:t>uropean (FSE)</w:t>
      </w:r>
      <w:r w:rsidR="00A31719" w:rsidRPr="00F736AB">
        <w:rPr>
          <w:rFonts w:ascii="Times New Roman" w:eastAsia="Times New Roman" w:hAnsi="Times New Roman"/>
          <w:color w:val="17365D" w:themeColor="text2" w:themeShade="BF"/>
          <w:sz w:val="24"/>
          <w:szCs w:val="24"/>
          <w:lang w:val="ro-RO" w:eastAsia="en-GB"/>
        </w:rPr>
        <w:t>, din care PO</w:t>
      </w:r>
      <w:r w:rsidRPr="00F736AB">
        <w:rPr>
          <w:rFonts w:ascii="Times New Roman" w:eastAsia="Times New Roman" w:hAnsi="Times New Roman"/>
          <w:color w:val="17365D" w:themeColor="text2" w:themeShade="BF"/>
          <w:sz w:val="24"/>
          <w:szCs w:val="24"/>
          <w:lang w:val="ro-RO" w:eastAsia="en-GB"/>
        </w:rPr>
        <w:t>CA va finanța intervenții în cadrul a 3 axe prioritare</w:t>
      </w:r>
      <w:r w:rsidR="00093C27" w:rsidRPr="00F736AB">
        <w:rPr>
          <w:rFonts w:ascii="Times New Roman" w:eastAsia="Times New Roman" w:hAnsi="Times New Roman"/>
          <w:color w:val="17365D" w:themeColor="text2" w:themeShade="BF"/>
          <w:sz w:val="24"/>
          <w:szCs w:val="24"/>
          <w:lang w:val="ro-RO" w:eastAsia="en-GB"/>
        </w:rPr>
        <w:t xml:space="preserve">. Detalii despre program regăsiți la adresa: </w:t>
      </w:r>
      <w:hyperlink r:id="rId8" w:history="1">
        <w:r w:rsidR="00093C27" w:rsidRPr="00F736AB">
          <w:rPr>
            <w:rStyle w:val="Hyperlink"/>
            <w:rFonts w:ascii="Times New Roman" w:eastAsia="Times New Roman" w:hAnsi="Times New Roman"/>
            <w:sz w:val="24"/>
            <w:szCs w:val="24"/>
            <w:lang w:val="ro-RO" w:eastAsia="en-GB"/>
          </w:rPr>
          <w:t>http://poca.ro/cadru-strategic/prezentare-poca-2014-2020/</w:t>
        </w:r>
      </w:hyperlink>
      <w:r w:rsidR="00093C27" w:rsidRPr="00F736AB">
        <w:rPr>
          <w:rFonts w:ascii="Times New Roman" w:eastAsia="Times New Roman" w:hAnsi="Times New Roman"/>
          <w:color w:val="17365D" w:themeColor="text2" w:themeShade="BF"/>
          <w:sz w:val="24"/>
          <w:szCs w:val="24"/>
          <w:lang w:val="ro-RO" w:eastAsia="en-GB"/>
        </w:rPr>
        <w:t xml:space="preserve"> </w:t>
      </w:r>
    </w:p>
    <w:p w:rsidR="00CA5F5B" w:rsidRPr="00F736AB" w:rsidRDefault="00CA5F5B"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Programul sprijină în principal măsuri din </w:t>
      </w:r>
      <w:hyperlink r:id="rId9" w:history="1">
        <w:r w:rsidRPr="00F736AB">
          <w:rPr>
            <w:rStyle w:val="Hyperlink"/>
            <w:rFonts w:ascii="Times New Roman" w:eastAsia="Times New Roman" w:hAnsi="Times New Roman"/>
            <w:sz w:val="24"/>
            <w:szCs w:val="24"/>
            <w:lang w:val="ro-RO" w:eastAsia="en-GB"/>
          </w:rPr>
          <w:t>Strategia pentru Consolidarea Administrației publice 2014-2020</w:t>
        </w:r>
      </w:hyperlink>
      <w:r w:rsidRPr="00F736AB">
        <w:rPr>
          <w:rFonts w:ascii="Times New Roman" w:eastAsia="Times New Roman" w:hAnsi="Times New Roman"/>
          <w:color w:val="17365D" w:themeColor="text2" w:themeShade="BF"/>
          <w:sz w:val="24"/>
          <w:szCs w:val="24"/>
          <w:lang w:val="ro-RO" w:eastAsia="en-GB"/>
        </w:rPr>
        <w:t xml:space="preserve">. Dar în anumite domenii specifice, precum sistem judiciar sau măsuri anticorupție alte strategii orientează finanțare din program, respectiv </w:t>
      </w:r>
      <w:hyperlink r:id="rId10" w:history="1">
        <w:r w:rsidRPr="00F736AB">
          <w:rPr>
            <w:rStyle w:val="Hyperlink"/>
            <w:rFonts w:ascii="Times New Roman" w:eastAsia="Times New Roman" w:hAnsi="Times New Roman"/>
            <w:sz w:val="24"/>
            <w:szCs w:val="24"/>
            <w:lang w:val="ro-RO" w:eastAsia="en-GB"/>
          </w:rPr>
          <w:t>Strategia de Dezvoltare a Sistemului Judiciar 2014-2020</w:t>
        </w:r>
      </w:hyperlink>
      <w:r w:rsidRPr="00F736AB">
        <w:rPr>
          <w:rFonts w:ascii="Times New Roman" w:eastAsia="Times New Roman" w:hAnsi="Times New Roman"/>
          <w:color w:val="17365D" w:themeColor="text2" w:themeShade="BF"/>
          <w:sz w:val="24"/>
          <w:szCs w:val="24"/>
          <w:lang w:val="ro-RO" w:eastAsia="en-GB"/>
        </w:rPr>
        <w:t xml:space="preserve"> și </w:t>
      </w:r>
      <w:hyperlink r:id="rId11" w:history="1">
        <w:r w:rsidRPr="00F736AB">
          <w:rPr>
            <w:rStyle w:val="Hyperlink"/>
            <w:rFonts w:ascii="Times New Roman" w:eastAsia="Times New Roman" w:hAnsi="Times New Roman"/>
            <w:sz w:val="24"/>
            <w:szCs w:val="24"/>
            <w:lang w:val="ro-RO" w:eastAsia="en-GB"/>
          </w:rPr>
          <w:t>Strategia Națională Anticorupție 2015-2020</w:t>
        </w:r>
      </w:hyperlink>
      <w:r w:rsidRPr="00F736AB">
        <w:rPr>
          <w:rFonts w:ascii="Times New Roman" w:eastAsia="Times New Roman" w:hAnsi="Times New Roman"/>
          <w:color w:val="17365D" w:themeColor="text2" w:themeShade="BF"/>
          <w:sz w:val="24"/>
          <w:szCs w:val="24"/>
          <w:lang w:val="ro-RO" w:eastAsia="en-GB"/>
        </w:rPr>
        <w:t xml:space="preserve">. În ceea ce privește măsurile de simplificare a procedurilor administrative aplicabile cetățenilor </w:t>
      </w:r>
      <w:r w:rsidR="008B6A42" w:rsidRPr="00F736AB">
        <w:rPr>
          <w:rFonts w:ascii="Times New Roman" w:eastAsia="Times New Roman" w:hAnsi="Times New Roman"/>
          <w:color w:val="17365D" w:themeColor="text2" w:themeShade="BF"/>
          <w:sz w:val="24"/>
          <w:szCs w:val="24"/>
          <w:lang w:val="ro-RO" w:eastAsia="en-GB"/>
        </w:rPr>
        <w:t>prioritățile sunt stabilite în</w:t>
      </w:r>
      <w:r w:rsidRPr="00F736AB">
        <w:rPr>
          <w:rFonts w:ascii="Times New Roman" w:eastAsia="Times New Roman" w:hAnsi="Times New Roman"/>
          <w:color w:val="17365D" w:themeColor="text2" w:themeShade="BF"/>
          <w:sz w:val="24"/>
          <w:szCs w:val="24"/>
          <w:lang w:val="ro-RO" w:eastAsia="en-GB"/>
        </w:rPr>
        <w:t xml:space="preserve"> </w:t>
      </w:r>
      <w:hyperlink r:id="rId12" w:history="1">
        <w:r w:rsidRPr="00F736AB">
          <w:rPr>
            <w:rStyle w:val="Hyperlink"/>
            <w:rFonts w:ascii="Times New Roman" w:eastAsia="Times New Roman" w:hAnsi="Times New Roman"/>
            <w:sz w:val="24"/>
            <w:szCs w:val="24"/>
            <w:lang w:val="ro-RO" w:eastAsia="en-GB"/>
          </w:rPr>
          <w:t>Plan</w:t>
        </w:r>
        <w:r w:rsidR="008B6A42" w:rsidRPr="00F736AB">
          <w:rPr>
            <w:rStyle w:val="Hyperlink"/>
            <w:rFonts w:ascii="Times New Roman" w:eastAsia="Times New Roman" w:hAnsi="Times New Roman"/>
            <w:sz w:val="24"/>
            <w:szCs w:val="24"/>
            <w:lang w:val="ro-RO" w:eastAsia="en-GB"/>
          </w:rPr>
          <w:t>ul</w:t>
        </w:r>
        <w:r w:rsidRPr="00F736AB">
          <w:rPr>
            <w:rStyle w:val="Hyperlink"/>
            <w:rFonts w:ascii="Times New Roman" w:eastAsia="Times New Roman" w:hAnsi="Times New Roman"/>
            <w:sz w:val="24"/>
            <w:szCs w:val="24"/>
            <w:lang w:val="ro-RO" w:eastAsia="en-GB"/>
          </w:rPr>
          <w:t xml:space="preserve"> integrat de simplificare</w:t>
        </w:r>
      </w:hyperlink>
      <w:r w:rsidRPr="00F736AB">
        <w:rPr>
          <w:rFonts w:ascii="Times New Roman" w:eastAsia="Times New Roman" w:hAnsi="Times New Roman"/>
          <w:color w:val="17365D" w:themeColor="text2" w:themeShade="BF"/>
          <w:sz w:val="24"/>
          <w:szCs w:val="24"/>
          <w:lang w:val="ro-RO" w:eastAsia="en-GB"/>
        </w:rPr>
        <w:t xml:space="preserve">, iar acțiunile de simplificare pentru mediul de afaceri în </w:t>
      </w:r>
      <w:hyperlink r:id="rId13" w:history="1">
        <w:r w:rsidR="00B93250">
          <w:rPr>
            <w:rStyle w:val="Hyperlink"/>
            <w:rFonts w:ascii="Times New Roman" w:eastAsia="Times New Roman" w:hAnsi="Times New Roman"/>
            <w:sz w:val="24"/>
            <w:szCs w:val="24"/>
            <w:lang w:val="ro-RO" w:eastAsia="en-GB"/>
          </w:rPr>
          <w:t>Strategia privind Mai B</w:t>
        </w:r>
        <w:r w:rsidRPr="00F736AB">
          <w:rPr>
            <w:rStyle w:val="Hyperlink"/>
            <w:rFonts w:ascii="Times New Roman" w:eastAsia="Times New Roman" w:hAnsi="Times New Roman"/>
            <w:sz w:val="24"/>
            <w:szCs w:val="24"/>
            <w:lang w:val="ro-RO" w:eastAsia="en-GB"/>
          </w:rPr>
          <w:t>una Reglementare 2014-2020</w:t>
        </w:r>
      </w:hyperlink>
      <w:r w:rsidRPr="00F736AB">
        <w:rPr>
          <w:rFonts w:ascii="Times New Roman" w:eastAsia="Times New Roman" w:hAnsi="Times New Roman"/>
          <w:color w:val="17365D" w:themeColor="text2" w:themeShade="BF"/>
          <w:sz w:val="24"/>
          <w:szCs w:val="24"/>
          <w:lang w:val="ro-RO" w:eastAsia="en-GB"/>
        </w:rPr>
        <w:t>. Programul, de asemenea, sprijină instituțiile publice să realiz</w:t>
      </w:r>
      <w:r w:rsidR="00BE098E" w:rsidRPr="00F736AB">
        <w:rPr>
          <w:rFonts w:ascii="Times New Roman" w:eastAsia="Times New Roman" w:hAnsi="Times New Roman"/>
          <w:color w:val="17365D" w:themeColor="text2" w:themeShade="BF"/>
          <w:sz w:val="24"/>
          <w:szCs w:val="24"/>
          <w:lang w:val="ro-RO" w:eastAsia="en-GB"/>
        </w:rPr>
        <w:t>eze anumite activități mai bine, de exemplu achizițiile publice, recrutarea și evaluare</w:t>
      </w:r>
      <w:r w:rsidR="002003D7">
        <w:rPr>
          <w:rFonts w:ascii="Times New Roman" w:eastAsia="Times New Roman" w:hAnsi="Times New Roman"/>
          <w:color w:val="17365D" w:themeColor="text2" w:themeShade="BF"/>
          <w:sz w:val="24"/>
          <w:szCs w:val="24"/>
          <w:lang w:val="ro-RO" w:eastAsia="en-GB"/>
        </w:rPr>
        <w:t>a</w:t>
      </w:r>
      <w:r w:rsidR="00BE098E" w:rsidRPr="00F736AB">
        <w:rPr>
          <w:rFonts w:ascii="Times New Roman" w:eastAsia="Times New Roman" w:hAnsi="Times New Roman"/>
          <w:color w:val="17365D" w:themeColor="text2" w:themeShade="BF"/>
          <w:sz w:val="24"/>
          <w:szCs w:val="24"/>
          <w:lang w:val="ro-RO" w:eastAsia="en-GB"/>
        </w:rPr>
        <w:t xml:space="preserve"> personalului, fundamentarea deciziilor. Și aceste activități se realizează în contextul unor </w:t>
      </w:r>
      <w:r w:rsidR="008B6A42" w:rsidRPr="00F736AB">
        <w:rPr>
          <w:rFonts w:ascii="Times New Roman" w:eastAsia="Times New Roman" w:hAnsi="Times New Roman"/>
          <w:color w:val="17365D" w:themeColor="text2" w:themeShade="BF"/>
          <w:sz w:val="24"/>
          <w:szCs w:val="24"/>
          <w:lang w:val="ro-RO" w:eastAsia="en-GB"/>
        </w:rPr>
        <w:t xml:space="preserve">alte </w:t>
      </w:r>
      <w:r w:rsidR="00BE098E" w:rsidRPr="00F736AB">
        <w:rPr>
          <w:rFonts w:ascii="Times New Roman" w:eastAsia="Times New Roman" w:hAnsi="Times New Roman"/>
          <w:color w:val="17365D" w:themeColor="text2" w:themeShade="BF"/>
          <w:sz w:val="24"/>
          <w:szCs w:val="24"/>
          <w:lang w:val="ro-RO" w:eastAsia="en-GB"/>
        </w:rPr>
        <w:t xml:space="preserve">strategii: </w:t>
      </w:r>
      <w:hyperlink r:id="rId14" w:history="1">
        <w:r w:rsidR="00BE098E" w:rsidRPr="00F736AB">
          <w:rPr>
            <w:rStyle w:val="Hyperlink"/>
            <w:rFonts w:ascii="Times New Roman" w:eastAsia="Times New Roman" w:hAnsi="Times New Roman"/>
            <w:sz w:val="24"/>
            <w:szCs w:val="24"/>
            <w:lang w:val="ro-RO" w:eastAsia="en-GB"/>
          </w:rPr>
          <w:t>Strategia națională în domeniul achizițiilor publice</w:t>
        </w:r>
      </w:hyperlink>
      <w:r w:rsidR="00BE098E" w:rsidRPr="00F736AB">
        <w:rPr>
          <w:rFonts w:ascii="Times New Roman" w:eastAsia="Times New Roman" w:hAnsi="Times New Roman"/>
          <w:color w:val="17365D" w:themeColor="text2" w:themeShade="BF"/>
          <w:sz w:val="24"/>
          <w:szCs w:val="24"/>
          <w:lang w:val="ro-RO" w:eastAsia="en-GB"/>
        </w:rPr>
        <w:t xml:space="preserve"> și </w:t>
      </w:r>
      <w:hyperlink r:id="rId15" w:history="1">
        <w:r w:rsidR="00BE098E" w:rsidRPr="00F736AB">
          <w:rPr>
            <w:rStyle w:val="Hyperlink"/>
            <w:rFonts w:ascii="Times New Roman" w:eastAsia="Times New Roman" w:hAnsi="Times New Roman"/>
            <w:sz w:val="24"/>
            <w:szCs w:val="24"/>
            <w:lang w:val="ro-RO" w:eastAsia="en-GB"/>
          </w:rPr>
          <w:t>Strategia pentru dezvoltarea funcției publice</w:t>
        </w:r>
      </w:hyperlink>
      <w:r w:rsidR="00BE098E" w:rsidRPr="00F736AB">
        <w:rPr>
          <w:rFonts w:ascii="Times New Roman" w:eastAsia="Times New Roman" w:hAnsi="Times New Roman"/>
          <w:color w:val="17365D" w:themeColor="text2" w:themeShade="BF"/>
          <w:sz w:val="24"/>
          <w:szCs w:val="24"/>
          <w:lang w:val="ro-RO" w:eastAsia="en-GB"/>
        </w:rPr>
        <w:t xml:space="preserve">. </w:t>
      </w:r>
      <w:r w:rsidRPr="00F736AB">
        <w:rPr>
          <w:rFonts w:ascii="Times New Roman" w:eastAsia="Times New Roman" w:hAnsi="Times New Roman"/>
          <w:color w:val="17365D" w:themeColor="text2" w:themeShade="BF"/>
          <w:sz w:val="24"/>
          <w:szCs w:val="24"/>
          <w:lang w:val="ro-RO" w:eastAsia="en-GB"/>
        </w:rPr>
        <w:t xml:space="preserve"> </w:t>
      </w:r>
    </w:p>
    <w:p w:rsidR="00276779" w:rsidRPr="00F736AB" w:rsidRDefault="00276779"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În plus, în prima sa etapă, POCA a sprijinit </w:t>
      </w:r>
      <w:r w:rsidR="008B6A42" w:rsidRPr="00F736AB">
        <w:rPr>
          <w:rFonts w:ascii="Times New Roman" w:eastAsia="Times New Roman" w:hAnsi="Times New Roman"/>
          <w:color w:val="17365D" w:themeColor="text2" w:themeShade="BF"/>
          <w:sz w:val="24"/>
          <w:szCs w:val="24"/>
          <w:lang w:val="ro-RO" w:eastAsia="en-GB"/>
        </w:rPr>
        <w:t xml:space="preserve">și </w:t>
      </w:r>
      <w:r w:rsidRPr="00F736AB">
        <w:rPr>
          <w:rFonts w:ascii="Times New Roman" w:eastAsia="Times New Roman" w:hAnsi="Times New Roman"/>
          <w:color w:val="17365D" w:themeColor="text2" w:themeShade="BF"/>
          <w:sz w:val="24"/>
          <w:szCs w:val="24"/>
          <w:lang w:val="ro-RO" w:eastAsia="en-GB"/>
        </w:rPr>
        <w:t xml:space="preserve">instituțiile publice care trebuiau să realizeze </w:t>
      </w:r>
      <w:r w:rsidR="008B6A42" w:rsidRPr="00F736AB">
        <w:rPr>
          <w:rFonts w:ascii="Times New Roman" w:eastAsia="Times New Roman" w:hAnsi="Times New Roman"/>
          <w:color w:val="17365D" w:themeColor="text2" w:themeShade="BF"/>
          <w:sz w:val="24"/>
          <w:szCs w:val="24"/>
          <w:lang w:val="ro-RO" w:eastAsia="en-GB"/>
        </w:rPr>
        <w:t xml:space="preserve">anumite măsuri </w:t>
      </w:r>
      <w:r w:rsidR="00054AFE">
        <w:rPr>
          <w:rFonts w:ascii="Times New Roman" w:eastAsia="Times New Roman" w:hAnsi="Times New Roman"/>
          <w:color w:val="17365D" w:themeColor="text2" w:themeShade="BF"/>
          <w:sz w:val="24"/>
          <w:szCs w:val="24"/>
          <w:lang w:val="ro-RO" w:eastAsia="en-GB"/>
        </w:rPr>
        <w:t>astfel încât</w:t>
      </w:r>
      <w:r w:rsidR="008B6A42" w:rsidRPr="00F736AB">
        <w:rPr>
          <w:rFonts w:ascii="Times New Roman" w:eastAsia="Times New Roman" w:hAnsi="Times New Roman"/>
          <w:color w:val="17365D" w:themeColor="text2" w:themeShade="BF"/>
          <w:sz w:val="24"/>
          <w:szCs w:val="24"/>
          <w:lang w:val="ro-RO" w:eastAsia="en-GB"/>
        </w:rPr>
        <w:t xml:space="preserve"> fondurile europene în România, pentru anumite domenii (de ex. situații de urgență, evaluare impactului asupra mediului, planul de investiții pentru cercetare)</w:t>
      </w:r>
      <w:r w:rsidR="00054AFE">
        <w:rPr>
          <w:rFonts w:ascii="Times New Roman" w:eastAsia="Times New Roman" w:hAnsi="Times New Roman"/>
          <w:color w:val="17365D" w:themeColor="text2" w:themeShade="BF"/>
          <w:sz w:val="24"/>
          <w:szCs w:val="24"/>
          <w:lang w:val="ro-RO" w:eastAsia="en-GB"/>
        </w:rPr>
        <w:t>,</w:t>
      </w:r>
      <w:r w:rsidR="008B6A42" w:rsidRPr="00F736AB">
        <w:rPr>
          <w:rFonts w:ascii="Times New Roman" w:eastAsia="Times New Roman" w:hAnsi="Times New Roman"/>
          <w:color w:val="17365D" w:themeColor="text2" w:themeShade="BF"/>
          <w:sz w:val="24"/>
          <w:szCs w:val="24"/>
          <w:lang w:val="ro-RO" w:eastAsia="en-GB"/>
        </w:rPr>
        <w:t xml:space="preserve"> să poată fi folosite cât mai repede.</w:t>
      </w:r>
      <w:r w:rsidRPr="00F736AB">
        <w:rPr>
          <w:rFonts w:ascii="Times New Roman" w:eastAsia="Times New Roman" w:hAnsi="Times New Roman"/>
          <w:color w:val="17365D" w:themeColor="text2" w:themeShade="BF"/>
          <w:sz w:val="24"/>
          <w:szCs w:val="24"/>
          <w:lang w:val="ro-RO" w:eastAsia="en-GB"/>
        </w:rPr>
        <w:t xml:space="preserve"> </w:t>
      </w:r>
    </w:p>
    <w:p w:rsidR="006B6308" w:rsidRPr="00F736AB" w:rsidRDefault="00A31719" w:rsidP="0028662D">
      <w:pPr>
        <w:shd w:val="clear" w:color="auto" w:fill="FFFFFF"/>
        <w:spacing w:after="0" w:line="207" w:lineRule="atLeast"/>
        <w:jc w:val="both"/>
        <w:textAlignment w:val="bottom"/>
        <w:rPr>
          <w:rFonts w:ascii="Times New Roman" w:eastAsia="Times New Roman" w:hAnsi="Times New Roman"/>
          <w:b/>
          <w:i/>
          <w:color w:val="0070C0"/>
          <w:sz w:val="24"/>
          <w:szCs w:val="24"/>
          <w:lang w:val="ro-RO"/>
        </w:rPr>
      </w:pPr>
      <w:r w:rsidRPr="00F736AB">
        <w:rPr>
          <w:rFonts w:ascii="Times New Roman" w:eastAsia="Times New Roman" w:hAnsi="Times New Roman"/>
          <w:b/>
          <w:i/>
          <w:color w:val="0070C0"/>
          <w:sz w:val="24"/>
          <w:szCs w:val="24"/>
          <w:lang w:val="ro-RO"/>
        </w:rPr>
        <w:t>Despre i</w:t>
      </w:r>
      <w:r w:rsidR="006B6308" w:rsidRPr="00F736AB">
        <w:rPr>
          <w:rFonts w:ascii="Times New Roman" w:eastAsia="Times New Roman" w:hAnsi="Times New Roman"/>
          <w:b/>
          <w:i/>
          <w:color w:val="0070C0"/>
          <w:sz w:val="24"/>
          <w:szCs w:val="24"/>
          <w:lang w:val="ro-RO"/>
        </w:rPr>
        <w:t>mplementarea programului în 201</w:t>
      </w:r>
      <w:r w:rsidR="001C699C">
        <w:rPr>
          <w:rFonts w:ascii="Times New Roman" w:eastAsia="Times New Roman" w:hAnsi="Times New Roman"/>
          <w:b/>
          <w:i/>
          <w:color w:val="0070C0"/>
          <w:sz w:val="24"/>
          <w:szCs w:val="24"/>
          <w:lang w:val="ro-RO"/>
        </w:rPr>
        <w:t>7</w:t>
      </w:r>
    </w:p>
    <w:p w:rsidR="007D31B6" w:rsidRPr="00F736AB" w:rsidRDefault="007D31B6"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La 31 decembrie 2017, performanța programului, în termeni de apeluri lansate este una bună, mai mult de 80% din alocarea programului a fost deja inclusă în cele 19 apeluri deschise de AM POCA (inclusiv asistența tehnică).</w:t>
      </w:r>
      <w:r w:rsidR="00B91F95">
        <w:rPr>
          <w:rFonts w:ascii="Times New Roman" w:eastAsia="Times New Roman" w:hAnsi="Times New Roman"/>
          <w:color w:val="17365D" w:themeColor="text2" w:themeShade="BF"/>
          <w:sz w:val="24"/>
          <w:szCs w:val="24"/>
          <w:lang w:val="ro-RO" w:eastAsia="en-GB"/>
        </w:rPr>
        <w:t xml:space="preserve"> </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În ceea ce privește valoarea contractelor semnate aceasta se ridică la 177,84 mil. euro, iar cea a plăților către beneficiari la 24,71 mil euro, iar sumele rambursate de CE sunt în valoare de 20,67 mil. euro, reprezentând un grad de absorbție al fondurilor UE de 3,74%.</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În anul 2017 implementarea programului a continuat într-un ritm susținut. Au fost lansate 12 cereri de proiecte, în valoare estimată de 229,76 mil. euro, care au vizat:</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B91F95" w:rsidRDefault="001C699C" w:rsidP="00B91F95">
      <w:pPr>
        <w:pStyle w:val="ListParagraph"/>
        <w:numPr>
          <w:ilvl w:val="0"/>
          <w:numId w:val="23"/>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B91F95">
        <w:rPr>
          <w:rFonts w:ascii="Times New Roman" w:eastAsia="Times New Roman" w:hAnsi="Times New Roman"/>
          <w:color w:val="17365D" w:themeColor="text2" w:themeShade="BF"/>
          <w:sz w:val="24"/>
          <w:szCs w:val="24"/>
          <w:lang w:val="ro-RO" w:eastAsia="en-GB"/>
        </w:rPr>
        <w:t>introducerea managementului calității la nivelul autorităților publice locale: în februarie (CP4) și în septembrie pentru autoritățile care nu au depus sau care nu au obținut finanțare în cadrul primului apel (CP6),</w:t>
      </w:r>
    </w:p>
    <w:p w:rsidR="001C699C" w:rsidRPr="00B91F95" w:rsidRDefault="001C699C" w:rsidP="00B91F95">
      <w:pPr>
        <w:pStyle w:val="ListParagraph"/>
        <w:numPr>
          <w:ilvl w:val="0"/>
          <w:numId w:val="23"/>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B91F95">
        <w:rPr>
          <w:rFonts w:ascii="Times New Roman" w:eastAsia="Times New Roman" w:hAnsi="Times New Roman"/>
          <w:color w:val="17365D" w:themeColor="text2" w:themeShade="BF"/>
          <w:sz w:val="24"/>
          <w:szCs w:val="24"/>
          <w:lang w:val="ro-RO" w:eastAsia="en-GB"/>
        </w:rPr>
        <w:t>consolidarea capacității ONG de a elabora politici publice alternative la propunerile Guvernului (CP2),</w:t>
      </w:r>
    </w:p>
    <w:p w:rsidR="001C699C" w:rsidRPr="00B91F95" w:rsidRDefault="001C699C" w:rsidP="00B91F95">
      <w:pPr>
        <w:pStyle w:val="ListParagraph"/>
        <w:numPr>
          <w:ilvl w:val="0"/>
          <w:numId w:val="23"/>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B91F95">
        <w:rPr>
          <w:rFonts w:ascii="Times New Roman" w:eastAsia="Times New Roman" w:hAnsi="Times New Roman"/>
          <w:color w:val="17365D" w:themeColor="text2" w:themeShade="BF"/>
          <w:sz w:val="24"/>
          <w:szCs w:val="24"/>
          <w:lang w:val="ro-RO" w:eastAsia="en-GB"/>
        </w:rPr>
        <w:t>măsuri de acces la justiție, promovarea metodelor alternative de soluționare a litigiilor, măsuri pentru îmbunătățirea activității de executare a hotărârilor judecătorești (CP3),</w:t>
      </w:r>
    </w:p>
    <w:p w:rsidR="001C699C" w:rsidRPr="00B91F95" w:rsidRDefault="001C699C" w:rsidP="00B91F95">
      <w:pPr>
        <w:pStyle w:val="ListParagraph"/>
        <w:numPr>
          <w:ilvl w:val="0"/>
          <w:numId w:val="23"/>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B91F95">
        <w:rPr>
          <w:rFonts w:ascii="Times New Roman" w:eastAsia="Times New Roman" w:hAnsi="Times New Roman"/>
          <w:color w:val="17365D" w:themeColor="text2" w:themeShade="BF"/>
          <w:sz w:val="24"/>
          <w:szCs w:val="24"/>
          <w:lang w:val="ro-RO" w:eastAsia="en-GB"/>
        </w:rPr>
        <w:lastRenderedPageBreak/>
        <w:t>măsuri de simplificare pentru cetățeni și mediul de afaceri, introducerea managementului calității la nivelul unor autorități publice centrale, sistematizare a legislației și elaborarea cadrului pentru sprijinirea dezvoltării la nivel local (IP8),</w:t>
      </w:r>
    </w:p>
    <w:p w:rsidR="001C699C" w:rsidRPr="00B91F95" w:rsidRDefault="001C699C" w:rsidP="00B91F95">
      <w:pPr>
        <w:pStyle w:val="ListParagraph"/>
        <w:numPr>
          <w:ilvl w:val="0"/>
          <w:numId w:val="23"/>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B91F95">
        <w:rPr>
          <w:rFonts w:ascii="Times New Roman" w:eastAsia="Times New Roman" w:hAnsi="Times New Roman"/>
          <w:color w:val="17365D" w:themeColor="text2" w:themeShade="BF"/>
          <w:sz w:val="24"/>
          <w:szCs w:val="24"/>
          <w:lang w:val="ro-RO" w:eastAsia="en-GB"/>
        </w:rPr>
        <w:t>măsuri pentru creșterea capacității secretariatului SNA (IP7),</w:t>
      </w:r>
    </w:p>
    <w:p w:rsidR="001C699C" w:rsidRPr="00B91F95" w:rsidRDefault="001C699C" w:rsidP="00B91F95">
      <w:pPr>
        <w:pStyle w:val="ListParagraph"/>
        <w:numPr>
          <w:ilvl w:val="0"/>
          <w:numId w:val="23"/>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B91F95">
        <w:rPr>
          <w:rFonts w:ascii="Times New Roman" w:eastAsia="Times New Roman" w:hAnsi="Times New Roman"/>
          <w:color w:val="17365D" w:themeColor="text2" w:themeShade="BF"/>
          <w:sz w:val="24"/>
          <w:szCs w:val="24"/>
          <w:lang w:val="ro-RO" w:eastAsia="en-GB"/>
        </w:rPr>
        <w:t>măsuri anticorupție la nivel central (CP5) și la nivel local (CP1),</w:t>
      </w:r>
    </w:p>
    <w:p w:rsidR="001C699C" w:rsidRPr="00B91F95" w:rsidRDefault="001C699C" w:rsidP="00B91F95">
      <w:pPr>
        <w:pStyle w:val="ListParagraph"/>
        <w:numPr>
          <w:ilvl w:val="0"/>
          <w:numId w:val="23"/>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B91F95">
        <w:rPr>
          <w:rFonts w:ascii="Times New Roman" w:eastAsia="Times New Roman" w:hAnsi="Times New Roman"/>
          <w:color w:val="17365D" w:themeColor="text2" w:themeShade="BF"/>
          <w:sz w:val="24"/>
          <w:szCs w:val="24"/>
          <w:lang w:val="ro-RO" w:eastAsia="en-GB"/>
        </w:rPr>
        <w:t>măsuri pentru creșterea calității, transparenței, eticii și integrității la nivelul sistemului judiciar (IP9).</w:t>
      </w:r>
    </w:p>
    <w:p w:rsidR="00AF5EF0" w:rsidRPr="00AF5EF0" w:rsidRDefault="00AF5EF0" w:rsidP="00AF5EF0">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AF5EF0">
        <w:rPr>
          <w:rFonts w:ascii="Times New Roman" w:eastAsia="Times New Roman" w:hAnsi="Times New Roman"/>
          <w:color w:val="17365D" w:themeColor="text2" w:themeShade="BF"/>
          <w:sz w:val="24"/>
          <w:szCs w:val="24"/>
          <w:lang w:val="ro-RO" w:eastAsia="en-GB"/>
        </w:rPr>
        <w:t xml:space="preserve">Detalii privind liniile de finanțare din program sunt disponibile la adresa: </w:t>
      </w:r>
      <w:hyperlink r:id="rId16" w:history="1">
        <w:r w:rsidRPr="00AF5EF0">
          <w:rPr>
            <w:rStyle w:val="Hyperlink"/>
            <w:rFonts w:ascii="Times New Roman" w:eastAsia="Times New Roman" w:hAnsi="Times New Roman"/>
            <w:sz w:val="24"/>
            <w:szCs w:val="24"/>
            <w:lang w:val="ro-RO" w:eastAsia="en-GB"/>
          </w:rPr>
          <w:t>http://poca.ro/solicitare-finantare/</w:t>
        </w:r>
      </w:hyperlink>
      <w:r w:rsidRPr="00AF5EF0">
        <w:rPr>
          <w:rFonts w:ascii="Times New Roman" w:eastAsia="Times New Roman" w:hAnsi="Times New Roman"/>
          <w:color w:val="17365D" w:themeColor="text2" w:themeShade="BF"/>
          <w:sz w:val="24"/>
          <w:szCs w:val="24"/>
          <w:lang w:val="ro-RO" w:eastAsia="en-GB"/>
        </w:rPr>
        <w:t xml:space="preserve"> </w:t>
      </w:r>
    </w:p>
    <w:p w:rsidR="00AF5EF0" w:rsidRDefault="00AF5EF0"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În ceea ce privește proiectele pentru care a fost acordată finanțare în cursul anului 2017, acestea sunt în număr de 18, în valoare totală eligibilă de 61,76 mil euro. Plățile efectuate pentru beneficiari în acest an au fost de 19,92 mil euro.</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În anul de raportare, AM POCA a aprobat proiecte care sprijină următoarele domenii de reformă:</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Achiziții publice</w:t>
      </w:r>
      <w:r w:rsidRPr="00B91F95">
        <w:rPr>
          <w:rFonts w:ascii="Times New Roman" w:eastAsia="Times New Roman" w:hAnsi="Times New Roman"/>
          <w:color w:val="17365D" w:themeColor="text2" w:themeShade="BF"/>
          <w:sz w:val="24"/>
          <w:szCs w:val="24"/>
          <w:lang w:val="ro-RO" w:eastAsia="en-GB"/>
        </w:rPr>
        <w:t>: sprijin pentru ANAP pentru dezvoltarea funcțiilor sale de verificare ex-ante, de monitorizare și de supervizare, precum și 8 instrumente operaționale pentru autoritățile contractante,</w:t>
      </w: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Etică și integritate</w:t>
      </w:r>
      <w:r w:rsidRPr="00B91F95">
        <w:rPr>
          <w:rFonts w:ascii="Times New Roman" w:eastAsia="Times New Roman" w:hAnsi="Times New Roman"/>
          <w:color w:val="17365D" w:themeColor="text2" w:themeShade="BF"/>
          <w:sz w:val="24"/>
          <w:szCs w:val="24"/>
          <w:lang w:val="ro-RO" w:eastAsia="en-GB"/>
        </w:rPr>
        <w:t>: consolidarea capacității administrative a secretariatului tehnic al Strategiei Naționale Anticorupție 2016-2020 de a sprijini implementarea măsurilor anticorupție, de a evalua legislația privind protecția avertizorilor de  integritate și migrația angajaților din sectorul public în cel privat, precum și sprijinirea ANFP pentru actualizarea cadrului general pentru definirea, facilitarea aplicării și monitorizarea conformității cu normele de conduită și implementarea unor programe de formare în acest domeniu pentru personalul din administrația publică,</w:t>
      </w: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Managementul calității</w:t>
      </w:r>
      <w:r w:rsidRPr="00B91F95">
        <w:rPr>
          <w:rFonts w:ascii="Times New Roman" w:eastAsia="Times New Roman" w:hAnsi="Times New Roman"/>
          <w:color w:val="17365D" w:themeColor="text2" w:themeShade="BF"/>
          <w:sz w:val="24"/>
          <w:szCs w:val="24"/>
          <w:lang w:val="ro-RO" w:eastAsia="en-GB"/>
        </w:rPr>
        <w:t xml:space="preserve"> în conformitate cu </w:t>
      </w:r>
      <w:r w:rsidRPr="00B91F95">
        <w:rPr>
          <w:rFonts w:ascii="Times New Roman" w:eastAsia="Times New Roman" w:hAnsi="Times New Roman"/>
          <w:i/>
          <w:color w:val="17365D" w:themeColor="text2" w:themeShade="BF"/>
          <w:sz w:val="24"/>
          <w:szCs w:val="24"/>
          <w:lang w:val="ro-RO" w:eastAsia="en-GB"/>
        </w:rPr>
        <w:t>Planul de acțiuni pentru implementarea etapizată a managementului calității în autorități și instituții publice 2016-2020</w:t>
      </w:r>
      <w:r w:rsidRPr="00B91F95">
        <w:rPr>
          <w:rFonts w:ascii="Times New Roman" w:eastAsia="Times New Roman" w:hAnsi="Times New Roman"/>
          <w:color w:val="17365D" w:themeColor="text2" w:themeShade="BF"/>
          <w:sz w:val="24"/>
          <w:szCs w:val="24"/>
          <w:lang w:val="ro-RO" w:eastAsia="en-GB"/>
        </w:rPr>
        <w:t>: implementarea acestuia la nivelul a 4 ministere,</w:t>
      </w: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Resurse umane</w:t>
      </w:r>
      <w:r w:rsidRPr="00B91F95">
        <w:rPr>
          <w:rFonts w:ascii="Times New Roman" w:eastAsia="Times New Roman" w:hAnsi="Times New Roman"/>
          <w:color w:val="17365D" w:themeColor="text2" w:themeShade="BF"/>
          <w:sz w:val="24"/>
          <w:szCs w:val="24"/>
          <w:lang w:val="ro-RO" w:eastAsia="en-GB"/>
        </w:rPr>
        <w:t>: dezvoltarea unui sistem de management unitar al resurselor umane din administrația publică, inclusiv sprijin pentru introducerea concursului național.</w:t>
      </w: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Codul vamal</w:t>
      </w:r>
      <w:r w:rsidRPr="00B91F95">
        <w:rPr>
          <w:rFonts w:ascii="Times New Roman" w:eastAsia="Times New Roman" w:hAnsi="Times New Roman"/>
          <w:color w:val="17365D" w:themeColor="text2" w:themeShade="BF"/>
          <w:sz w:val="24"/>
          <w:szCs w:val="24"/>
          <w:lang w:val="ro-RO" w:eastAsia="en-GB"/>
        </w:rPr>
        <w:t xml:space="preserve">: facilitarea </w:t>
      </w:r>
      <w:r w:rsidR="00AF5EF0" w:rsidRPr="00B91F95">
        <w:rPr>
          <w:rFonts w:ascii="Times New Roman" w:eastAsia="Times New Roman" w:hAnsi="Times New Roman"/>
          <w:color w:val="17365D" w:themeColor="text2" w:themeShade="BF"/>
          <w:sz w:val="24"/>
          <w:szCs w:val="24"/>
          <w:lang w:val="ro-RO" w:eastAsia="en-GB"/>
        </w:rPr>
        <w:t>formalităților</w:t>
      </w:r>
      <w:r w:rsidRPr="00B91F95">
        <w:rPr>
          <w:rFonts w:ascii="Times New Roman" w:eastAsia="Times New Roman" w:hAnsi="Times New Roman"/>
          <w:color w:val="17365D" w:themeColor="text2" w:themeShade="BF"/>
          <w:sz w:val="24"/>
          <w:szCs w:val="24"/>
          <w:lang w:val="ro-RO" w:eastAsia="en-GB"/>
        </w:rPr>
        <w:t xml:space="preserve"> vamale,</w:t>
      </w: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Codul penal</w:t>
      </w:r>
      <w:r w:rsidRPr="00B91F95">
        <w:rPr>
          <w:rFonts w:ascii="Times New Roman" w:eastAsia="Times New Roman" w:hAnsi="Times New Roman"/>
          <w:color w:val="17365D" w:themeColor="text2" w:themeShade="BF"/>
          <w:sz w:val="24"/>
          <w:szCs w:val="24"/>
          <w:lang w:val="ro-RO" w:eastAsia="en-GB"/>
        </w:rPr>
        <w:t>: consolidarea capacității Ministerului Public de punere în aplicare a prevederilor în domeniul audierilor și de punere în executare a unor procedee probatorii vizând perchezițiile informatice,</w:t>
      </w: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Recuperarea creanțelor provenite din infracțiuni</w:t>
      </w:r>
      <w:r w:rsidRPr="00B91F95">
        <w:rPr>
          <w:rFonts w:ascii="Times New Roman" w:eastAsia="Times New Roman" w:hAnsi="Times New Roman"/>
          <w:color w:val="17365D" w:themeColor="text2" w:themeShade="BF"/>
          <w:sz w:val="24"/>
          <w:szCs w:val="24"/>
          <w:lang w:val="ro-RO" w:eastAsia="en-GB"/>
        </w:rPr>
        <w:t>: consolidarea și eficientizarea sistemului național,</w:t>
      </w: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Sistemul integrat de management strategic la nivelul sistemului judiciar</w:t>
      </w:r>
      <w:r w:rsidRPr="00B91F95">
        <w:rPr>
          <w:rFonts w:ascii="Times New Roman" w:eastAsia="Times New Roman" w:hAnsi="Times New Roman"/>
          <w:color w:val="17365D" w:themeColor="text2" w:themeShade="BF"/>
          <w:sz w:val="24"/>
          <w:szCs w:val="24"/>
          <w:lang w:val="ro-RO" w:eastAsia="en-GB"/>
        </w:rPr>
        <w:t xml:space="preserve"> și </w:t>
      </w:r>
      <w:r w:rsidRPr="00601292">
        <w:rPr>
          <w:rFonts w:ascii="Times New Roman" w:eastAsia="Times New Roman" w:hAnsi="Times New Roman"/>
          <w:b/>
          <w:color w:val="17365D" w:themeColor="text2" w:themeShade="BF"/>
          <w:sz w:val="24"/>
          <w:szCs w:val="24"/>
          <w:lang w:val="ro-RO" w:eastAsia="en-GB"/>
        </w:rPr>
        <w:t>analiza privind dezvoltarea și introducerea ECRIS V</w:t>
      </w:r>
      <w:r w:rsidRPr="00B91F95">
        <w:rPr>
          <w:rFonts w:ascii="Times New Roman" w:eastAsia="Times New Roman" w:hAnsi="Times New Roman"/>
          <w:color w:val="17365D" w:themeColor="text2" w:themeShade="BF"/>
          <w:sz w:val="24"/>
          <w:szCs w:val="24"/>
          <w:lang w:val="ro-RO" w:eastAsia="en-GB"/>
        </w:rPr>
        <w:t xml:space="preserve"> (sistemului electronic de management al cauzelor).</w:t>
      </w:r>
    </w:p>
    <w:p w:rsidR="00986E8B" w:rsidRDefault="00986E8B"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C644C5"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O parte din i</w:t>
      </w:r>
      <w:r w:rsidR="001C699C" w:rsidRPr="001C699C">
        <w:rPr>
          <w:rFonts w:ascii="Times New Roman" w:eastAsia="Times New Roman" w:hAnsi="Times New Roman"/>
          <w:color w:val="17365D" w:themeColor="text2" w:themeShade="BF"/>
          <w:sz w:val="24"/>
          <w:szCs w:val="24"/>
          <w:lang w:val="ro-RO" w:eastAsia="en-GB"/>
        </w:rPr>
        <w:t xml:space="preserve">ndicatorii </w:t>
      </w:r>
      <w:r w:rsidR="002003D7">
        <w:rPr>
          <w:rFonts w:ascii="Times New Roman" w:eastAsia="Times New Roman" w:hAnsi="Times New Roman"/>
          <w:color w:val="17365D" w:themeColor="text2" w:themeShade="BF"/>
          <w:sz w:val="24"/>
          <w:szCs w:val="24"/>
          <w:lang w:val="ro-RO" w:eastAsia="en-GB"/>
        </w:rPr>
        <w:t xml:space="preserve">programului </w:t>
      </w:r>
      <w:r w:rsidR="001C699C" w:rsidRPr="001C699C">
        <w:rPr>
          <w:rFonts w:ascii="Times New Roman" w:eastAsia="Times New Roman" w:hAnsi="Times New Roman"/>
          <w:color w:val="17365D" w:themeColor="text2" w:themeShade="BF"/>
          <w:sz w:val="24"/>
          <w:szCs w:val="24"/>
          <w:lang w:val="ro-RO" w:eastAsia="en-GB"/>
        </w:rPr>
        <w:t>au înregistrat progrese până la finalul anului 2017</w:t>
      </w:r>
      <w:r w:rsidR="00645D91">
        <w:rPr>
          <w:rFonts w:ascii="Times New Roman" w:eastAsia="Times New Roman" w:hAnsi="Times New Roman"/>
          <w:color w:val="17365D" w:themeColor="text2" w:themeShade="BF"/>
          <w:sz w:val="24"/>
          <w:szCs w:val="24"/>
          <w:lang w:val="ro-RO" w:eastAsia="en-GB"/>
        </w:rPr>
        <w:t xml:space="preserve"> și anume indicatorii care reflectă intervenții pentru autorități publice în domeniul</w:t>
      </w:r>
      <w:r w:rsidR="002003D7">
        <w:rPr>
          <w:rFonts w:ascii="Times New Roman" w:eastAsia="Times New Roman" w:hAnsi="Times New Roman"/>
          <w:color w:val="17365D" w:themeColor="text2" w:themeShade="BF"/>
          <w:sz w:val="24"/>
          <w:szCs w:val="24"/>
          <w:lang w:val="ro-RO" w:eastAsia="en-GB"/>
        </w:rPr>
        <w:t xml:space="preserve"> planific</w:t>
      </w:r>
      <w:r w:rsidR="00645D91">
        <w:rPr>
          <w:rFonts w:ascii="Times New Roman" w:eastAsia="Times New Roman" w:hAnsi="Times New Roman"/>
          <w:color w:val="17365D" w:themeColor="text2" w:themeShade="BF"/>
          <w:sz w:val="24"/>
          <w:szCs w:val="24"/>
          <w:lang w:val="ro-RO" w:eastAsia="en-GB"/>
        </w:rPr>
        <w:t>ă</w:t>
      </w:r>
      <w:r>
        <w:rPr>
          <w:rFonts w:ascii="Times New Roman" w:eastAsia="Times New Roman" w:hAnsi="Times New Roman"/>
          <w:color w:val="17365D" w:themeColor="text2" w:themeShade="BF"/>
          <w:sz w:val="24"/>
          <w:szCs w:val="24"/>
          <w:lang w:val="ro-RO" w:eastAsia="en-GB"/>
        </w:rPr>
        <w:t>r</w:t>
      </w:r>
      <w:r w:rsidR="00645D91">
        <w:rPr>
          <w:rFonts w:ascii="Times New Roman" w:eastAsia="Times New Roman" w:hAnsi="Times New Roman"/>
          <w:color w:val="17365D" w:themeColor="text2" w:themeShade="BF"/>
          <w:sz w:val="24"/>
          <w:szCs w:val="24"/>
          <w:lang w:val="ro-RO" w:eastAsia="en-GB"/>
        </w:rPr>
        <w:t>ii</w:t>
      </w:r>
      <w:r w:rsidR="002003D7">
        <w:rPr>
          <w:rFonts w:ascii="Times New Roman" w:eastAsia="Times New Roman" w:hAnsi="Times New Roman"/>
          <w:color w:val="17365D" w:themeColor="text2" w:themeShade="BF"/>
          <w:sz w:val="24"/>
          <w:szCs w:val="24"/>
          <w:lang w:val="ro-RO" w:eastAsia="en-GB"/>
        </w:rPr>
        <w:t xml:space="preserve"> strategic</w:t>
      </w:r>
      <w:r w:rsidR="00645D91">
        <w:rPr>
          <w:rFonts w:ascii="Times New Roman" w:eastAsia="Times New Roman" w:hAnsi="Times New Roman"/>
          <w:color w:val="17365D" w:themeColor="text2" w:themeShade="BF"/>
          <w:sz w:val="24"/>
          <w:szCs w:val="24"/>
          <w:lang w:val="ro-RO" w:eastAsia="en-GB"/>
        </w:rPr>
        <w:t>e</w:t>
      </w:r>
      <w:r w:rsidR="002003D7">
        <w:rPr>
          <w:rFonts w:ascii="Times New Roman" w:eastAsia="Times New Roman" w:hAnsi="Times New Roman"/>
          <w:color w:val="17365D" w:themeColor="text2" w:themeShade="BF"/>
          <w:sz w:val="24"/>
          <w:szCs w:val="24"/>
          <w:lang w:val="ro-RO" w:eastAsia="en-GB"/>
        </w:rPr>
        <w:t xml:space="preserve">, </w:t>
      </w:r>
      <w:r>
        <w:rPr>
          <w:rFonts w:ascii="Times New Roman" w:eastAsia="Times New Roman" w:hAnsi="Times New Roman"/>
          <w:color w:val="17365D" w:themeColor="text2" w:themeShade="BF"/>
          <w:sz w:val="24"/>
          <w:szCs w:val="24"/>
          <w:lang w:val="ro-RO" w:eastAsia="en-GB"/>
        </w:rPr>
        <w:t>managementul calității (ISO 9001) și CAF, realizarea unor studii, analize și evaluări ex-ante de impactului pentru fundamenta</w:t>
      </w:r>
      <w:r w:rsidR="00645D91">
        <w:rPr>
          <w:rFonts w:ascii="Times New Roman" w:eastAsia="Times New Roman" w:hAnsi="Times New Roman"/>
          <w:color w:val="17365D" w:themeColor="text2" w:themeShade="BF"/>
          <w:sz w:val="24"/>
          <w:szCs w:val="24"/>
          <w:lang w:val="ro-RO" w:eastAsia="en-GB"/>
        </w:rPr>
        <w:t xml:space="preserve">rea politicilor publice. </w:t>
      </w:r>
      <w:r w:rsidR="001C699C" w:rsidRPr="001C699C">
        <w:rPr>
          <w:rFonts w:ascii="Times New Roman" w:eastAsia="Times New Roman" w:hAnsi="Times New Roman"/>
          <w:color w:val="17365D" w:themeColor="text2" w:themeShade="BF"/>
          <w:sz w:val="24"/>
          <w:szCs w:val="24"/>
          <w:lang w:val="ro-RO" w:eastAsia="en-GB"/>
        </w:rPr>
        <w:t>Detalii privind nivelul atins sunt incluse în tabelele din secțiunea 3.2 a raportului</w:t>
      </w:r>
      <w:r w:rsidR="00645D91">
        <w:rPr>
          <w:rFonts w:ascii="Times New Roman" w:eastAsia="Times New Roman" w:hAnsi="Times New Roman"/>
          <w:color w:val="17365D" w:themeColor="text2" w:themeShade="BF"/>
          <w:sz w:val="24"/>
          <w:szCs w:val="24"/>
          <w:lang w:val="ro-RO" w:eastAsia="en-GB"/>
        </w:rPr>
        <w:t xml:space="preserve">, respectiv </w:t>
      </w:r>
      <w:r w:rsidR="00622DA3">
        <w:rPr>
          <w:rFonts w:ascii="Times New Roman" w:eastAsia="Times New Roman" w:hAnsi="Times New Roman"/>
          <w:color w:val="17365D" w:themeColor="text2" w:themeShade="BF"/>
          <w:sz w:val="24"/>
          <w:szCs w:val="24"/>
          <w:lang w:val="ro-RO" w:eastAsia="en-GB"/>
        </w:rPr>
        <w:t xml:space="preserve">în </w:t>
      </w:r>
      <w:r w:rsidR="00645D91">
        <w:rPr>
          <w:rFonts w:ascii="Times New Roman" w:eastAsia="Times New Roman" w:hAnsi="Times New Roman"/>
          <w:color w:val="17365D" w:themeColor="text2" w:themeShade="BF"/>
          <w:sz w:val="24"/>
          <w:szCs w:val="24"/>
          <w:lang w:val="ro-RO" w:eastAsia="en-GB"/>
        </w:rPr>
        <w:t xml:space="preserve">tabelele 2C și 4B indicatorii specifici de program și </w:t>
      </w:r>
      <w:r w:rsidR="00622DA3">
        <w:rPr>
          <w:rFonts w:ascii="Times New Roman" w:eastAsia="Times New Roman" w:hAnsi="Times New Roman"/>
          <w:color w:val="17365D" w:themeColor="text2" w:themeShade="BF"/>
          <w:sz w:val="24"/>
          <w:szCs w:val="24"/>
          <w:lang w:val="ro-RO" w:eastAsia="en-GB"/>
        </w:rPr>
        <w:t xml:space="preserve">în </w:t>
      </w:r>
      <w:r w:rsidR="00645D91">
        <w:rPr>
          <w:rFonts w:ascii="Times New Roman" w:eastAsia="Times New Roman" w:hAnsi="Times New Roman"/>
          <w:color w:val="17365D" w:themeColor="text2" w:themeShade="BF"/>
          <w:sz w:val="24"/>
          <w:szCs w:val="24"/>
          <w:lang w:val="ro-RO" w:eastAsia="en-GB"/>
        </w:rPr>
        <w:t xml:space="preserve">tabelele </w:t>
      </w:r>
      <w:r w:rsidR="00622DA3">
        <w:rPr>
          <w:rFonts w:ascii="Times New Roman" w:eastAsia="Times New Roman" w:hAnsi="Times New Roman"/>
          <w:color w:val="17365D" w:themeColor="text2" w:themeShade="BF"/>
          <w:sz w:val="24"/>
          <w:szCs w:val="24"/>
          <w:lang w:val="ro-RO" w:eastAsia="en-GB"/>
        </w:rPr>
        <w:t>2A și 4A indicatorii FSE comuni (indicatori solicitați pentru toate programele europene finanțate din FSE)</w:t>
      </w:r>
      <w:r w:rsidR="001C699C" w:rsidRPr="001C699C">
        <w:rPr>
          <w:rFonts w:ascii="Times New Roman" w:eastAsia="Times New Roman" w:hAnsi="Times New Roman"/>
          <w:color w:val="17365D" w:themeColor="text2" w:themeShade="BF"/>
          <w:sz w:val="24"/>
          <w:szCs w:val="24"/>
          <w:lang w:val="ro-RO" w:eastAsia="en-GB"/>
        </w:rPr>
        <w:t>.</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lastRenderedPageBreak/>
        <w:t xml:space="preserve">În </w:t>
      </w:r>
      <w:r w:rsidR="00B81672">
        <w:rPr>
          <w:rFonts w:ascii="Times New Roman" w:eastAsia="Times New Roman" w:hAnsi="Times New Roman"/>
          <w:color w:val="17365D" w:themeColor="text2" w:themeShade="BF"/>
          <w:sz w:val="24"/>
          <w:szCs w:val="24"/>
          <w:lang w:val="ro-RO" w:eastAsia="en-GB"/>
        </w:rPr>
        <w:t xml:space="preserve">luna martie 2017, Comisia Europeană a emis decizia prin care aprobă modificarea programului, versiunea 2.0, prin includerea unor informații ce nu erau disponibile în februarie 2015. Astfel, pentru 3 indicatori de rezultat aferenți sistemului judiciar, din obiectivul specific 1.3, au fost stabilite valorile de bază și valorile țintă.  </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B81672"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 xml:space="preserve">Pe parcursul anului s-au desfășurat </w:t>
      </w:r>
      <w:r w:rsidR="001C699C" w:rsidRPr="00601292">
        <w:rPr>
          <w:rFonts w:ascii="Times New Roman" w:eastAsia="Times New Roman" w:hAnsi="Times New Roman"/>
          <w:b/>
          <w:color w:val="17365D" w:themeColor="text2" w:themeShade="BF"/>
          <w:sz w:val="24"/>
          <w:szCs w:val="24"/>
          <w:lang w:val="ro-RO" w:eastAsia="en-GB"/>
        </w:rPr>
        <w:t>17 evenimente de comunicare și informare</w:t>
      </w:r>
      <w:r w:rsidR="001C699C" w:rsidRPr="001C699C">
        <w:rPr>
          <w:rFonts w:ascii="Times New Roman" w:eastAsia="Times New Roman" w:hAnsi="Times New Roman"/>
          <w:color w:val="17365D" w:themeColor="text2" w:themeShade="BF"/>
          <w:sz w:val="24"/>
          <w:szCs w:val="24"/>
          <w:lang w:val="ro-RO" w:eastAsia="en-GB"/>
        </w:rPr>
        <w:t xml:space="preserve"> (caravane și workshop-uri) pentru beneficiarii și potențialii beneficiari POCA, precum și </w:t>
      </w:r>
      <w:r w:rsidR="001C699C" w:rsidRPr="00601292">
        <w:rPr>
          <w:rFonts w:ascii="Times New Roman" w:eastAsia="Times New Roman" w:hAnsi="Times New Roman"/>
          <w:b/>
          <w:color w:val="17365D" w:themeColor="text2" w:themeShade="BF"/>
          <w:sz w:val="24"/>
          <w:szCs w:val="24"/>
          <w:lang w:val="ro-RO" w:eastAsia="en-GB"/>
        </w:rPr>
        <w:t>un eveniment major de comunicare</w:t>
      </w:r>
      <w:r w:rsidR="001C699C" w:rsidRPr="001C699C">
        <w:rPr>
          <w:rFonts w:ascii="Times New Roman" w:eastAsia="Times New Roman" w:hAnsi="Times New Roman"/>
          <w:color w:val="17365D" w:themeColor="text2" w:themeShade="BF"/>
          <w:sz w:val="24"/>
          <w:szCs w:val="24"/>
          <w:lang w:val="ro-RO" w:eastAsia="en-GB"/>
        </w:rPr>
        <w:t xml:space="preserve"> dedicat publicului larg în care au fost prezentate oportunitățile de finanțare, proiectele finanțate și rezultatele obținute. La aceste evenimente au participat peste 300 de reprezentanți ai autorităților și instituțiilor publice, ai societății civile, ai mediului academic.</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7D31B6" w:rsidRDefault="00B81672" w:rsidP="00C74B15">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Din a</w:t>
      </w:r>
      <w:r w:rsidR="00C74B15">
        <w:rPr>
          <w:rFonts w:ascii="Times New Roman" w:eastAsia="Times New Roman" w:hAnsi="Times New Roman"/>
          <w:color w:val="17365D" w:themeColor="text2" w:themeShade="BF"/>
          <w:sz w:val="24"/>
          <w:szCs w:val="24"/>
          <w:lang w:val="ro-RO" w:eastAsia="en-GB"/>
        </w:rPr>
        <w:t>xa prioritară 1</w:t>
      </w:r>
      <w:r>
        <w:rPr>
          <w:rFonts w:ascii="Times New Roman" w:eastAsia="Times New Roman" w:hAnsi="Times New Roman"/>
          <w:color w:val="17365D" w:themeColor="text2" w:themeShade="BF"/>
          <w:sz w:val="24"/>
          <w:szCs w:val="24"/>
          <w:lang w:val="ro-RO" w:eastAsia="en-GB"/>
        </w:rPr>
        <w:t xml:space="preserve"> au fost deschise linii de finanțare ce acoperă </w:t>
      </w:r>
      <w:r w:rsidR="00C74B15" w:rsidRPr="00C74B15">
        <w:rPr>
          <w:rFonts w:ascii="Times New Roman" w:eastAsia="Times New Roman" w:hAnsi="Times New Roman"/>
          <w:color w:val="17365D" w:themeColor="text2" w:themeShade="BF"/>
          <w:sz w:val="24"/>
          <w:szCs w:val="24"/>
          <w:lang w:val="ro-RO" w:eastAsia="en-GB"/>
        </w:rPr>
        <w:t>99,4% din alocarea totală a axei prioritare</w:t>
      </w:r>
      <w:r>
        <w:rPr>
          <w:rFonts w:ascii="Times New Roman" w:eastAsia="Times New Roman" w:hAnsi="Times New Roman"/>
          <w:color w:val="17365D" w:themeColor="text2" w:themeShade="BF"/>
          <w:sz w:val="24"/>
          <w:szCs w:val="24"/>
          <w:lang w:val="ro-RO" w:eastAsia="en-GB"/>
        </w:rPr>
        <w:t xml:space="preserve">, iar solicitanții au depus proiecte ce acoperă </w:t>
      </w:r>
      <w:r w:rsidR="00C74B15" w:rsidRPr="00C74B15">
        <w:rPr>
          <w:rFonts w:ascii="Times New Roman" w:eastAsia="Times New Roman" w:hAnsi="Times New Roman"/>
          <w:color w:val="17365D" w:themeColor="text2" w:themeShade="BF"/>
          <w:sz w:val="24"/>
          <w:szCs w:val="24"/>
          <w:lang w:val="ro-RO" w:eastAsia="en-GB"/>
        </w:rPr>
        <w:t xml:space="preserve">68,43% din </w:t>
      </w:r>
      <w:r>
        <w:rPr>
          <w:rFonts w:ascii="Times New Roman" w:eastAsia="Times New Roman" w:hAnsi="Times New Roman"/>
          <w:color w:val="17365D" w:themeColor="text2" w:themeShade="BF"/>
          <w:sz w:val="24"/>
          <w:szCs w:val="24"/>
          <w:lang w:val="ro-RO" w:eastAsia="en-GB"/>
        </w:rPr>
        <w:t xml:space="preserve">această </w:t>
      </w:r>
      <w:r w:rsidR="00C74B15" w:rsidRPr="00C74B15">
        <w:rPr>
          <w:rFonts w:ascii="Times New Roman" w:eastAsia="Times New Roman" w:hAnsi="Times New Roman"/>
          <w:color w:val="17365D" w:themeColor="text2" w:themeShade="BF"/>
          <w:sz w:val="24"/>
          <w:szCs w:val="24"/>
          <w:lang w:val="ro-RO" w:eastAsia="en-GB"/>
        </w:rPr>
        <w:t>aloc</w:t>
      </w:r>
      <w:r w:rsidR="00C74B15">
        <w:rPr>
          <w:rFonts w:ascii="Times New Roman" w:eastAsia="Times New Roman" w:hAnsi="Times New Roman"/>
          <w:color w:val="17365D" w:themeColor="text2" w:themeShade="BF"/>
          <w:sz w:val="24"/>
          <w:szCs w:val="24"/>
          <w:lang w:val="ro-RO" w:eastAsia="en-GB"/>
        </w:rPr>
        <w:t>are</w:t>
      </w:r>
      <w:r>
        <w:rPr>
          <w:rFonts w:ascii="Times New Roman" w:eastAsia="Times New Roman" w:hAnsi="Times New Roman"/>
          <w:color w:val="17365D" w:themeColor="text2" w:themeShade="BF"/>
          <w:sz w:val="24"/>
          <w:szCs w:val="24"/>
          <w:lang w:val="ro-RO" w:eastAsia="en-GB"/>
        </w:rPr>
        <w:t xml:space="preserve">. </w:t>
      </w:r>
      <w:r w:rsidR="00C74B15">
        <w:rPr>
          <w:rFonts w:ascii="Times New Roman" w:eastAsia="Times New Roman" w:hAnsi="Times New Roman"/>
          <w:color w:val="17365D" w:themeColor="text2" w:themeShade="BF"/>
          <w:sz w:val="24"/>
          <w:szCs w:val="24"/>
          <w:lang w:val="ro-RO" w:eastAsia="en-GB"/>
        </w:rPr>
        <w:t>Referitor la</w:t>
      </w:r>
      <w:r w:rsidR="00C74B15" w:rsidRPr="00C74B15">
        <w:rPr>
          <w:rFonts w:ascii="Times New Roman" w:eastAsia="Times New Roman" w:hAnsi="Times New Roman"/>
          <w:color w:val="17365D" w:themeColor="text2" w:themeShade="BF"/>
          <w:sz w:val="24"/>
          <w:szCs w:val="24"/>
          <w:lang w:val="ro-RO" w:eastAsia="en-GB"/>
        </w:rPr>
        <w:t xml:space="preserve"> valoarea contractelor de finanțare și a plăților declarate de beneficiari nivelul acestora </w:t>
      </w:r>
      <w:r>
        <w:rPr>
          <w:rFonts w:ascii="Times New Roman" w:eastAsia="Times New Roman" w:hAnsi="Times New Roman"/>
          <w:color w:val="17365D" w:themeColor="text2" w:themeShade="BF"/>
          <w:sz w:val="24"/>
          <w:szCs w:val="24"/>
          <w:lang w:val="ro-RO" w:eastAsia="en-GB"/>
        </w:rPr>
        <w:t xml:space="preserve">se situează </w:t>
      </w:r>
      <w:r w:rsidR="00C74B15" w:rsidRPr="00C74B15">
        <w:rPr>
          <w:rFonts w:ascii="Times New Roman" w:eastAsia="Times New Roman" w:hAnsi="Times New Roman"/>
          <w:color w:val="17365D" w:themeColor="text2" w:themeShade="BF"/>
          <w:sz w:val="24"/>
          <w:szCs w:val="24"/>
          <w:lang w:val="ro-RO" w:eastAsia="en-GB"/>
        </w:rPr>
        <w:t xml:space="preserve">la 35%, respectiv, 6% din alocarea totală a axei prioritare. Principalele probleme care </w:t>
      </w:r>
      <w:r w:rsidR="002003D7">
        <w:rPr>
          <w:rFonts w:ascii="Times New Roman" w:eastAsia="Times New Roman" w:hAnsi="Times New Roman"/>
          <w:color w:val="17365D" w:themeColor="text2" w:themeShade="BF"/>
          <w:sz w:val="24"/>
          <w:szCs w:val="24"/>
          <w:lang w:val="ro-RO" w:eastAsia="en-GB"/>
        </w:rPr>
        <w:t xml:space="preserve">au </w:t>
      </w:r>
      <w:r w:rsidR="00C74B15" w:rsidRPr="00C74B15">
        <w:rPr>
          <w:rFonts w:ascii="Times New Roman" w:eastAsia="Times New Roman" w:hAnsi="Times New Roman"/>
          <w:color w:val="17365D" w:themeColor="text2" w:themeShade="BF"/>
          <w:sz w:val="24"/>
          <w:szCs w:val="24"/>
          <w:lang w:val="ro-RO" w:eastAsia="en-GB"/>
        </w:rPr>
        <w:t>afecta</w:t>
      </w:r>
      <w:r w:rsidR="002003D7">
        <w:rPr>
          <w:rFonts w:ascii="Times New Roman" w:eastAsia="Times New Roman" w:hAnsi="Times New Roman"/>
          <w:color w:val="17365D" w:themeColor="text2" w:themeShade="BF"/>
          <w:sz w:val="24"/>
          <w:szCs w:val="24"/>
          <w:lang w:val="ro-RO" w:eastAsia="en-GB"/>
        </w:rPr>
        <w:t>t</w:t>
      </w:r>
      <w:r w:rsidR="00C74B15" w:rsidRPr="00C74B15">
        <w:rPr>
          <w:rFonts w:ascii="Times New Roman" w:eastAsia="Times New Roman" w:hAnsi="Times New Roman"/>
          <w:color w:val="17365D" w:themeColor="text2" w:themeShade="BF"/>
          <w:sz w:val="24"/>
          <w:szCs w:val="24"/>
          <w:lang w:val="ro-RO" w:eastAsia="en-GB"/>
        </w:rPr>
        <w:t xml:space="preserve"> ritmul de contractare și de implementare a proiectelor în cadrul axei sunt întârzierile în evaluarea cererilor de finanțare și în implementarea proiectelor.  </w:t>
      </w:r>
    </w:p>
    <w:p w:rsidR="004B23BD" w:rsidRDefault="004B23BD" w:rsidP="00C74B15">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4B23BD" w:rsidRDefault="00B81672"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În cadrul a</w:t>
      </w:r>
      <w:r w:rsidR="004B23BD" w:rsidRPr="004B23BD">
        <w:rPr>
          <w:rFonts w:ascii="Times New Roman" w:eastAsia="Times New Roman" w:hAnsi="Times New Roman"/>
          <w:color w:val="17365D" w:themeColor="text2" w:themeShade="BF"/>
          <w:sz w:val="24"/>
          <w:szCs w:val="24"/>
          <w:lang w:val="ro-RO" w:eastAsia="en-GB"/>
        </w:rPr>
        <w:t>x</w:t>
      </w:r>
      <w:r>
        <w:rPr>
          <w:rFonts w:ascii="Times New Roman" w:eastAsia="Times New Roman" w:hAnsi="Times New Roman"/>
          <w:color w:val="17365D" w:themeColor="text2" w:themeShade="BF"/>
          <w:sz w:val="24"/>
          <w:szCs w:val="24"/>
          <w:lang w:val="ro-RO" w:eastAsia="en-GB"/>
        </w:rPr>
        <w:t>ei</w:t>
      </w:r>
      <w:r w:rsidR="004B23BD" w:rsidRPr="004B23BD">
        <w:rPr>
          <w:rFonts w:ascii="Times New Roman" w:eastAsia="Times New Roman" w:hAnsi="Times New Roman"/>
          <w:color w:val="17365D" w:themeColor="text2" w:themeShade="BF"/>
          <w:sz w:val="24"/>
          <w:szCs w:val="24"/>
          <w:lang w:val="ro-RO" w:eastAsia="en-GB"/>
        </w:rPr>
        <w:t xml:space="preserve"> prioritară 2 </w:t>
      </w:r>
      <w:r>
        <w:rPr>
          <w:rFonts w:ascii="Times New Roman" w:eastAsia="Times New Roman" w:hAnsi="Times New Roman"/>
          <w:color w:val="17365D" w:themeColor="text2" w:themeShade="BF"/>
          <w:sz w:val="24"/>
          <w:szCs w:val="24"/>
          <w:lang w:val="ro-RO" w:eastAsia="en-GB"/>
        </w:rPr>
        <w:t>au fost deschise linii de finanțare ce acoperă</w:t>
      </w:r>
      <w:r w:rsidR="004B23BD" w:rsidRPr="004B23BD">
        <w:rPr>
          <w:rFonts w:ascii="Times New Roman" w:eastAsia="Times New Roman" w:hAnsi="Times New Roman"/>
          <w:color w:val="17365D" w:themeColor="text2" w:themeShade="BF"/>
          <w:sz w:val="24"/>
          <w:szCs w:val="24"/>
          <w:lang w:val="ro-RO" w:eastAsia="en-GB"/>
        </w:rPr>
        <w:t xml:space="preserve"> 54% din alocarea totală a axei prioritare, iar </w:t>
      </w:r>
      <w:r>
        <w:rPr>
          <w:rFonts w:ascii="Times New Roman" w:eastAsia="Times New Roman" w:hAnsi="Times New Roman"/>
          <w:color w:val="17365D" w:themeColor="text2" w:themeShade="BF"/>
          <w:sz w:val="24"/>
          <w:szCs w:val="24"/>
          <w:lang w:val="ro-RO" w:eastAsia="en-GB"/>
        </w:rPr>
        <w:t xml:space="preserve">solicitanții au depus </w:t>
      </w:r>
      <w:r w:rsidR="004B23BD" w:rsidRPr="004B23BD">
        <w:rPr>
          <w:rFonts w:ascii="Times New Roman" w:eastAsia="Times New Roman" w:hAnsi="Times New Roman"/>
          <w:color w:val="17365D" w:themeColor="text2" w:themeShade="BF"/>
          <w:sz w:val="24"/>
          <w:szCs w:val="24"/>
          <w:lang w:val="ro-RO" w:eastAsia="en-GB"/>
        </w:rPr>
        <w:t xml:space="preserve">proiecte </w:t>
      </w:r>
      <w:r>
        <w:rPr>
          <w:rFonts w:ascii="Times New Roman" w:eastAsia="Times New Roman" w:hAnsi="Times New Roman"/>
          <w:color w:val="17365D" w:themeColor="text2" w:themeShade="BF"/>
          <w:sz w:val="24"/>
          <w:szCs w:val="24"/>
          <w:lang w:val="ro-RO" w:eastAsia="en-GB"/>
        </w:rPr>
        <w:t>reprezentând</w:t>
      </w:r>
      <w:r w:rsidRPr="004B23BD">
        <w:rPr>
          <w:rFonts w:ascii="Times New Roman" w:eastAsia="Times New Roman" w:hAnsi="Times New Roman"/>
          <w:color w:val="17365D" w:themeColor="text2" w:themeShade="BF"/>
          <w:sz w:val="24"/>
          <w:szCs w:val="24"/>
          <w:lang w:val="ro-RO" w:eastAsia="en-GB"/>
        </w:rPr>
        <w:t xml:space="preserve"> </w:t>
      </w:r>
      <w:r w:rsidR="004B23BD" w:rsidRPr="004B23BD">
        <w:rPr>
          <w:rFonts w:ascii="Times New Roman" w:eastAsia="Times New Roman" w:hAnsi="Times New Roman"/>
          <w:color w:val="17365D" w:themeColor="text2" w:themeShade="BF"/>
          <w:sz w:val="24"/>
          <w:szCs w:val="24"/>
          <w:lang w:val="ro-RO" w:eastAsia="en-GB"/>
        </w:rPr>
        <w:t>25,67% din alocarea totală. Valoarea plăților declarate de beneficiari este la nivel</w:t>
      </w:r>
      <w:r w:rsidR="00C61CE3">
        <w:rPr>
          <w:rFonts w:ascii="Times New Roman" w:eastAsia="Times New Roman" w:hAnsi="Times New Roman"/>
          <w:color w:val="17365D" w:themeColor="text2" w:themeShade="BF"/>
          <w:sz w:val="24"/>
          <w:szCs w:val="24"/>
          <w:lang w:val="ro-RO" w:eastAsia="en-GB"/>
        </w:rPr>
        <w:t xml:space="preserve">ul </w:t>
      </w:r>
      <w:r w:rsidR="004B23BD" w:rsidRPr="004B23BD">
        <w:rPr>
          <w:rFonts w:ascii="Times New Roman" w:eastAsia="Times New Roman" w:hAnsi="Times New Roman"/>
          <w:color w:val="17365D" w:themeColor="text2" w:themeShade="BF"/>
          <w:sz w:val="24"/>
          <w:szCs w:val="24"/>
          <w:lang w:val="ro-RO" w:eastAsia="en-GB"/>
        </w:rPr>
        <w:t>de 0,25%</w:t>
      </w:r>
      <w:r w:rsidR="00C61CE3">
        <w:rPr>
          <w:rFonts w:ascii="Times New Roman" w:eastAsia="Times New Roman" w:hAnsi="Times New Roman"/>
          <w:color w:val="17365D" w:themeColor="text2" w:themeShade="BF"/>
          <w:sz w:val="24"/>
          <w:szCs w:val="24"/>
          <w:lang w:val="ro-RO" w:eastAsia="en-GB"/>
        </w:rPr>
        <w:t xml:space="preserve"> din alocare</w:t>
      </w:r>
      <w:r w:rsidR="004B23BD" w:rsidRPr="004B23BD">
        <w:rPr>
          <w:rFonts w:ascii="Times New Roman" w:eastAsia="Times New Roman" w:hAnsi="Times New Roman"/>
          <w:color w:val="17365D" w:themeColor="text2" w:themeShade="BF"/>
          <w:sz w:val="24"/>
          <w:szCs w:val="24"/>
          <w:lang w:val="ro-RO" w:eastAsia="en-GB"/>
        </w:rPr>
        <w:t>. Dintre măsurile pentru administrație finanțate în cadrul acestei axe, domeniul anticorupție este mai avansat din perspectiva cadrului strategic național și ca urmare, AM POCA a lansat, în cadrul OS 2.2, 4 apeluri în valoare de 112 mil lei (aprox. 24,1 mil euro). Valoarea totală a proiectelor depuse în cadrul acestor apeluri este de 49,6 mil lei (aprox. 11 mil euro). Pentru administrația publică locală au fost lansate 2</w:t>
      </w:r>
      <w:r w:rsidR="00C61CE3">
        <w:rPr>
          <w:rFonts w:ascii="Times New Roman" w:eastAsia="Times New Roman" w:hAnsi="Times New Roman"/>
          <w:color w:val="17365D" w:themeColor="text2" w:themeShade="BF"/>
          <w:sz w:val="24"/>
          <w:szCs w:val="24"/>
          <w:lang w:val="ro-RO" w:eastAsia="en-GB"/>
        </w:rPr>
        <w:t xml:space="preserve"> </w:t>
      </w:r>
      <w:r w:rsidR="004B23BD" w:rsidRPr="004B23BD">
        <w:rPr>
          <w:rFonts w:ascii="Times New Roman" w:eastAsia="Times New Roman" w:hAnsi="Times New Roman"/>
          <w:color w:val="17365D" w:themeColor="text2" w:themeShade="BF"/>
          <w:sz w:val="24"/>
          <w:szCs w:val="24"/>
          <w:lang w:val="ro-RO" w:eastAsia="en-GB"/>
        </w:rPr>
        <w:t xml:space="preserve">apeluri în vederea implementării managementului calității, a standardelor ISO 9001 și CAF, în conformitate cu </w:t>
      </w:r>
      <w:r w:rsidR="004B23BD" w:rsidRPr="00601292">
        <w:rPr>
          <w:rFonts w:ascii="Times New Roman" w:eastAsia="Times New Roman" w:hAnsi="Times New Roman"/>
          <w:i/>
          <w:color w:val="17365D" w:themeColor="text2" w:themeShade="BF"/>
          <w:sz w:val="24"/>
          <w:szCs w:val="24"/>
          <w:lang w:val="ro-RO" w:eastAsia="en-GB"/>
        </w:rPr>
        <w:t>Planul de acțiuni pentru implementarea etapizată a managementului calității în autorități și instituții publice 2016-2020</w:t>
      </w:r>
      <w:r w:rsidR="004B23BD" w:rsidRPr="004B23BD">
        <w:rPr>
          <w:rFonts w:ascii="Times New Roman" w:eastAsia="Times New Roman" w:hAnsi="Times New Roman"/>
          <w:color w:val="17365D" w:themeColor="text2" w:themeShade="BF"/>
          <w:sz w:val="24"/>
          <w:szCs w:val="24"/>
          <w:lang w:val="ro-RO" w:eastAsia="en-GB"/>
        </w:rPr>
        <w:t xml:space="preserve">. Intervențiile prevăzute în program privind planificarea strategică la nivel local depind de realizarea măsurii II.1.5 din SCAP, iar cele privind simplificarea procedurilor administrative de acțiunile incluse în </w:t>
      </w:r>
      <w:r w:rsidR="004B23BD" w:rsidRPr="00601292">
        <w:rPr>
          <w:rFonts w:ascii="Times New Roman" w:eastAsia="Times New Roman" w:hAnsi="Times New Roman"/>
          <w:i/>
          <w:color w:val="17365D" w:themeColor="text2" w:themeShade="BF"/>
          <w:sz w:val="24"/>
          <w:szCs w:val="24"/>
          <w:lang w:val="ro-RO" w:eastAsia="en-GB"/>
        </w:rPr>
        <w:t>Planul integrat pentru simplificarea procedurilor administrative aplicabile cetățenilor</w:t>
      </w:r>
      <w:r w:rsidR="004B23BD" w:rsidRPr="004B23BD">
        <w:rPr>
          <w:rFonts w:ascii="Times New Roman" w:eastAsia="Times New Roman" w:hAnsi="Times New Roman"/>
          <w:color w:val="17365D" w:themeColor="text2" w:themeShade="BF"/>
          <w:sz w:val="24"/>
          <w:szCs w:val="24"/>
          <w:lang w:val="ro-RO" w:eastAsia="en-GB"/>
        </w:rPr>
        <w:t>. Planul menționat include măsuri în sarcina instituțiilor publice centrale, motiv pentru care AM POCA nu a lansat în cursul anului de raportare niciun apel cu această temă. Măsurile finanțate de POCA pentru stabilirea cadrului de e-guvernare în România, precum și cele finanțate de P</w:t>
      </w:r>
      <w:r w:rsidR="00C61CE3">
        <w:rPr>
          <w:rFonts w:ascii="Times New Roman" w:eastAsia="Times New Roman" w:hAnsi="Times New Roman"/>
          <w:color w:val="17365D" w:themeColor="text2" w:themeShade="BF"/>
          <w:sz w:val="24"/>
          <w:szCs w:val="24"/>
          <w:lang w:val="ro-RO" w:eastAsia="en-GB"/>
        </w:rPr>
        <w:t xml:space="preserve">rogramul </w:t>
      </w:r>
      <w:r w:rsidR="004B23BD" w:rsidRPr="004B23BD">
        <w:rPr>
          <w:rFonts w:ascii="Times New Roman" w:eastAsia="Times New Roman" w:hAnsi="Times New Roman"/>
          <w:color w:val="17365D" w:themeColor="text2" w:themeShade="BF"/>
          <w:sz w:val="24"/>
          <w:szCs w:val="24"/>
          <w:lang w:val="ro-RO" w:eastAsia="en-GB"/>
        </w:rPr>
        <w:t>O</w:t>
      </w:r>
      <w:r w:rsidR="00C61CE3">
        <w:rPr>
          <w:rFonts w:ascii="Times New Roman" w:eastAsia="Times New Roman" w:hAnsi="Times New Roman"/>
          <w:color w:val="17365D" w:themeColor="text2" w:themeShade="BF"/>
          <w:sz w:val="24"/>
          <w:szCs w:val="24"/>
          <w:lang w:val="ro-RO" w:eastAsia="en-GB"/>
        </w:rPr>
        <w:t xml:space="preserve">perațional </w:t>
      </w:r>
      <w:r w:rsidR="004B23BD" w:rsidRPr="004B23BD">
        <w:rPr>
          <w:rFonts w:ascii="Times New Roman" w:eastAsia="Times New Roman" w:hAnsi="Times New Roman"/>
          <w:color w:val="17365D" w:themeColor="text2" w:themeShade="BF"/>
          <w:sz w:val="24"/>
          <w:szCs w:val="24"/>
          <w:lang w:val="ro-RO" w:eastAsia="en-GB"/>
        </w:rPr>
        <w:t>C</w:t>
      </w:r>
      <w:r w:rsidR="00C61CE3">
        <w:rPr>
          <w:rFonts w:ascii="Times New Roman" w:eastAsia="Times New Roman" w:hAnsi="Times New Roman"/>
          <w:color w:val="17365D" w:themeColor="text2" w:themeShade="BF"/>
          <w:sz w:val="24"/>
          <w:szCs w:val="24"/>
          <w:lang w:val="ro-RO" w:eastAsia="en-GB"/>
        </w:rPr>
        <w:t>ompetitivitate</w:t>
      </w:r>
      <w:r w:rsidR="004B23BD" w:rsidRPr="004B23BD">
        <w:rPr>
          <w:rFonts w:ascii="Times New Roman" w:eastAsia="Times New Roman" w:hAnsi="Times New Roman"/>
          <w:color w:val="17365D" w:themeColor="text2" w:themeShade="BF"/>
          <w:sz w:val="24"/>
          <w:szCs w:val="24"/>
          <w:lang w:val="ro-RO" w:eastAsia="en-GB"/>
        </w:rPr>
        <w:t xml:space="preserve"> pentru introducerea unor instrumente de e-guvernare vor avea impact și asupra autorităților publice locale. În ultima parte a implementării programului, după ce rezultatele intervențiilor menționate vor fi vizibile, AM va putea lansa aceste măsuri</w:t>
      </w:r>
      <w:r w:rsidR="004B23BD">
        <w:rPr>
          <w:rFonts w:ascii="Times New Roman" w:eastAsia="Times New Roman" w:hAnsi="Times New Roman"/>
          <w:color w:val="17365D" w:themeColor="text2" w:themeShade="BF"/>
          <w:sz w:val="24"/>
          <w:szCs w:val="24"/>
          <w:lang w:val="ro-RO" w:eastAsia="en-GB"/>
        </w:rPr>
        <w:t>.</w:t>
      </w:r>
    </w:p>
    <w:p w:rsidR="004B23BD" w:rsidRDefault="004B23BD"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A22417" w:rsidRDefault="004B23BD"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4B23BD">
        <w:rPr>
          <w:rFonts w:ascii="Times New Roman" w:eastAsia="Times New Roman" w:hAnsi="Times New Roman"/>
          <w:color w:val="17365D" w:themeColor="text2" w:themeShade="BF"/>
          <w:sz w:val="24"/>
          <w:szCs w:val="24"/>
          <w:lang w:val="ro-RO" w:eastAsia="en-GB"/>
        </w:rPr>
        <w:t>Axa prioritară 3 are cel mai bun grad de contractare, de 71,54%, iar nivelul plăților este de 4,30 mil. euro, în cadrul tuturor celor 3 proiecte aflate în implementare. Din această axă s</w:t>
      </w:r>
      <w:r w:rsidR="00C61CE3">
        <w:rPr>
          <w:rFonts w:ascii="Times New Roman" w:eastAsia="Times New Roman" w:hAnsi="Times New Roman"/>
          <w:color w:val="17365D" w:themeColor="text2" w:themeShade="BF"/>
          <w:sz w:val="24"/>
          <w:szCs w:val="24"/>
          <w:lang w:val="ro-RO" w:eastAsia="en-GB"/>
        </w:rPr>
        <w:t>e</w:t>
      </w:r>
      <w:r w:rsidRPr="004B23BD">
        <w:rPr>
          <w:rFonts w:ascii="Times New Roman" w:eastAsia="Times New Roman" w:hAnsi="Times New Roman"/>
          <w:color w:val="17365D" w:themeColor="text2" w:themeShade="BF"/>
          <w:sz w:val="24"/>
          <w:szCs w:val="24"/>
          <w:lang w:val="ro-RO" w:eastAsia="en-GB"/>
        </w:rPr>
        <w:t xml:space="preserve"> </w:t>
      </w:r>
      <w:r w:rsidR="00C61CE3" w:rsidRPr="004B23BD">
        <w:rPr>
          <w:rFonts w:ascii="Times New Roman" w:eastAsia="Times New Roman" w:hAnsi="Times New Roman"/>
          <w:color w:val="17365D" w:themeColor="text2" w:themeShade="BF"/>
          <w:sz w:val="24"/>
          <w:szCs w:val="24"/>
          <w:lang w:val="ro-RO" w:eastAsia="en-GB"/>
        </w:rPr>
        <w:t>acord</w:t>
      </w:r>
      <w:r w:rsidR="00C61CE3">
        <w:rPr>
          <w:rFonts w:ascii="Times New Roman" w:eastAsia="Times New Roman" w:hAnsi="Times New Roman"/>
          <w:color w:val="17365D" w:themeColor="text2" w:themeShade="BF"/>
          <w:sz w:val="24"/>
          <w:szCs w:val="24"/>
          <w:lang w:val="ro-RO" w:eastAsia="en-GB"/>
        </w:rPr>
        <w:t>ă</w:t>
      </w:r>
      <w:r w:rsidR="00C61CE3" w:rsidRPr="004B23BD">
        <w:rPr>
          <w:rFonts w:ascii="Times New Roman" w:eastAsia="Times New Roman" w:hAnsi="Times New Roman"/>
          <w:color w:val="17365D" w:themeColor="text2" w:themeShade="BF"/>
          <w:sz w:val="24"/>
          <w:szCs w:val="24"/>
          <w:lang w:val="ro-RO" w:eastAsia="en-GB"/>
        </w:rPr>
        <w:t xml:space="preserve"> </w:t>
      </w:r>
      <w:r w:rsidRPr="004B23BD">
        <w:rPr>
          <w:rFonts w:ascii="Times New Roman" w:eastAsia="Times New Roman" w:hAnsi="Times New Roman"/>
          <w:color w:val="17365D" w:themeColor="text2" w:themeShade="BF"/>
          <w:sz w:val="24"/>
          <w:szCs w:val="24"/>
          <w:lang w:val="ro-RO" w:eastAsia="en-GB"/>
        </w:rPr>
        <w:t>sprijin pentru derularea în condiții optime a activității AM POCA</w:t>
      </w:r>
      <w:r w:rsidR="00C61CE3">
        <w:rPr>
          <w:rFonts w:ascii="Times New Roman" w:eastAsia="Times New Roman" w:hAnsi="Times New Roman"/>
          <w:color w:val="17365D" w:themeColor="text2" w:themeShade="BF"/>
          <w:sz w:val="24"/>
          <w:szCs w:val="24"/>
          <w:lang w:val="ro-RO" w:eastAsia="en-GB"/>
        </w:rPr>
        <w:t>.</w:t>
      </w:r>
      <w:r w:rsidRPr="004B23BD">
        <w:rPr>
          <w:rFonts w:ascii="Times New Roman" w:eastAsia="Times New Roman" w:hAnsi="Times New Roman"/>
          <w:color w:val="17365D" w:themeColor="text2" w:themeShade="BF"/>
          <w:sz w:val="24"/>
          <w:szCs w:val="24"/>
          <w:lang w:val="ro-RO" w:eastAsia="en-GB"/>
        </w:rPr>
        <w:t xml:space="preserve"> </w:t>
      </w:r>
    </w:p>
    <w:p w:rsidR="00A22417" w:rsidRDefault="00A22417"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2451FD" w:rsidRPr="00F736AB" w:rsidRDefault="004B23BD"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4B23BD">
        <w:rPr>
          <w:rFonts w:ascii="Times New Roman" w:eastAsia="Times New Roman" w:hAnsi="Times New Roman"/>
          <w:color w:val="17365D" w:themeColor="text2" w:themeShade="BF"/>
          <w:sz w:val="24"/>
          <w:szCs w:val="24"/>
          <w:lang w:val="ro-RO" w:eastAsia="en-GB"/>
        </w:rPr>
        <w:t xml:space="preserve">De asemenea, AM POCA participă în proiectul pilot derulat de DG REGIO ”Pacte de integritate – Mecanism de control civil pentru salvgardarea fondurilor europene” prin care 3 proceduri de achiziție publică vor fi monitorizate utilizând instrumentul Pact de integritate. </w:t>
      </w:r>
    </w:p>
    <w:p w:rsidR="00CA5F5B" w:rsidRPr="00F736AB" w:rsidRDefault="00CA5F5B"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CA5F5B" w:rsidRPr="00F736AB" w:rsidRDefault="008B6A42"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Raportul anual de implementare detaliază progresul înregistrat în implementarea programului și este disponibil la </w:t>
      </w:r>
      <w:hyperlink r:id="rId17" w:history="1">
        <w:r w:rsidR="00E60ADE" w:rsidRPr="00F736AB">
          <w:rPr>
            <w:rStyle w:val="Hyperlink"/>
            <w:rFonts w:ascii="Times New Roman" w:eastAsia="Times New Roman" w:hAnsi="Times New Roman"/>
            <w:sz w:val="24"/>
            <w:szCs w:val="24"/>
            <w:lang w:val="ro-RO" w:eastAsia="en-GB"/>
          </w:rPr>
          <w:t>http://poca.ro/monitorizare-program/raport-anual-de-implementare/</w:t>
        </w:r>
      </w:hyperlink>
      <w:r w:rsidR="00F736AB" w:rsidRPr="00F736AB">
        <w:rPr>
          <w:rStyle w:val="Hyperlink"/>
          <w:rFonts w:ascii="Times New Roman" w:eastAsia="Times New Roman" w:hAnsi="Times New Roman"/>
          <w:sz w:val="24"/>
          <w:szCs w:val="24"/>
          <w:lang w:val="ro-RO" w:eastAsia="en-GB"/>
        </w:rPr>
        <w:t>.</w:t>
      </w:r>
      <w:r w:rsidR="00E60ADE" w:rsidRPr="00F736AB">
        <w:rPr>
          <w:rFonts w:ascii="Times New Roman" w:eastAsia="Times New Roman" w:hAnsi="Times New Roman"/>
          <w:color w:val="17365D" w:themeColor="text2" w:themeShade="BF"/>
          <w:sz w:val="24"/>
          <w:szCs w:val="24"/>
          <w:lang w:val="ro-RO" w:eastAsia="en-GB"/>
        </w:rPr>
        <w:t xml:space="preserve"> </w:t>
      </w:r>
      <w:r w:rsidRPr="00F736AB">
        <w:rPr>
          <w:rFonts w:ascii="Times New Roman" w:eastAsia="Times New Roman" w:hAnsi="Times New Roman"/>
          <w:color w:val="17365D" w:themeColor="text2" w:themeShade="BF"/>
          <w:sz w:val="24"/>
          <w:szCs w:val="24"/>
          <w:lang w:val="ro-RO" w:eastAsia="en-GB"/>
        </w:rPr>
        <w:t xml:space="preserve"> </w:t>
      </w:r>
    </w:p>
    <w:p w:rsidR="00CA5F5B" w:rsidRPr="00F736AB" w:rsidRDefault="00CA5F5B"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CA5F5B" w:rsidRPr="00F736AB" w:rsidRDefault="00CA5F5B"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sectPr w:rsidR="00CA5F5B" w:rsidRPr="00F736AB" w:rsidSect="00C5351E">
      <w:headerReference w:type="default" r:id="rId18"/>
      <w:footerReference w:type="default" r:id="rId19"/>
      <w:pgSz w:w="11907" w:h="16840" w:code="9"/>
      <w:pgMar w:top="212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76" w:rsidRDefault="00992F76" w:rsidP="00306146">
      <w:pPr>
        <w:spacing w:after="0" w:line="240" w:lineRule="auto"/>
      </w:pPr>
      <w:r>
        <w:separator/>
      </w:r>
    </w:p>
  </w:endnote>
  <w:endnote w:type="continuationSeparator" w:id="0">
    <w:p w:rsidR="00992F76" w:rsidRDefault="00992F76"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306146" w:rsidP="00306146">
    <w:pPr>
      <w:pStyle w:val="Footer"/>
      <w:jc w:val="center"/>
      <w:rPr>
        <w:rFonts w:ascii="Trebuchet MS" w:hAnsi="Trebuchet MS"/>
        <w:sz w:val="13"/>
        <w:szCs w:val="13"/>
      </w:rPr>
    </w:pPr>
  </w:p>
  <w:p w:rsidR="00306146" w:rsidRDefault="004A1EE4" w:rsidP="00306146">
    <w:pPr>
      <w:pStyle w:val="Footer"/>
      <w:jc w:val="center"/>
      <w:rPr>
        <w:rFonts w:ascii="Trebuchet MS" w:hAnsi="Trebuchet MS"/>
        <w:sz w:val="13"/>
        <w:szCs w:val="13"/>
      </w:rPr>
    </w:pPr>
    <w:r>
      <w:rPr>
        <w:rFonts w:ascii="Trebuchet MS" w:hAnsi="Trebuchet MS"/>
        <w:noProof/>
        <w:sz w:val="13"/>
        <w:szCs w:val="13"/>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299835" cy="0"/>
              <wp:effectExtent l="19050" t="22225" r="15240" b="158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ABDA4"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N7IwIAADw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" strokecolor="#039" strokeweight="2.25pt"/>
          </w:pict>
        </mc:Fallback>
      </mc:AlternateContent>
    </w:r>
  </w:p>
  <w:p w:rsidR="00306146" w:rsidRPr="008D571F" w:rsidRDefault="00306146" w:rsidP="00306146">
    <w:pPr>
      <w:pStyle w:val="Footer"/>
      <w:jc w:val="center"/>
      <w:rPr>
        <w:rFonts w:ascii="Trebuchet MS" w:hAnsi="Trebuchet MS"/>
        <w:sz w:val="13"/>
        <w:szCs w:val="13"/>
        <w:lang w:val="ro-RO"/>
      </w:rPr>
    </w:pPr>
    <w:r w:rsidRPr="008D571F">
      <w:rPr>
        <w:rFonts w:ascii="Trebuchet MS" w:hAnsi="Trebuchet MS"/>
        <w:sz w:val="13"/>
        <w:szCs w:val="13"/>
        <w:lang w:val="ro-RO"/>
      </w:rPr>
      <w:t>Competența face diferența! Proiect selectat în cadrul Programului Operațional Capacitate Administrativă cofinanțat de Uniunea Europeană, din Fondul Social European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76" w:rsidRDefault="00992F76" w:rsidP="00306146">
      <w:pPr>
        <w:spacing w:after="0" w:line="240" w:lineRule="auto"/>
      </w:pPr>
      <w:r>
        <w:separator/>
      </w:r>
    </w:p>
  </w:footnote>
  <w:footnote w:type="continuationSeparator" w:id="0">
    <w:p w:rsidR="00992F76" w:rsidRDefault="00992F76"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B068CD" w:rsidP="00525C60">
    <w:pPr>
      <w:pStyle w:val="Header"/>
      <w:jc w:val="center"/>
    </w:pPr>
    <w:r>
      <w:rPr>
        <w:noProof/>
        <w:lang w:val="ro-RO" w:eastAsia="ro-RO"/>
      </w:rPr>
      <w:drawing>
        <wp:inline distT="0" distB="0" distL="0" distR="0">
          <wp:extent cx="6003925" cy="629920"/>
          <wp:effectExtent l="19050" t="0" r="0" b="0"/>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6003925" cy="629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674"/>
    <w:multiLevelType w:val="hybridMultilevel"/>
    <w:tmpl w:val="23EE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44A33"/>
    <w:multiLevelType w:val="hybridMultilevel"/>
    <w:tmpl w:val="93827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D86D53"/>
    <w:multiLevelType w:val="hybridMultilevel"/>
    <w:tmpl w:val="912A9B50"/>
    <w:lvl w:ilvl="0" w:tplc="7E643076">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C3758E"/>
    <w:multiLevelType w:val="hybridMultilevel"/>
    <w:tmpl w:val="2B0CCC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0B5EB9"/>
    <w:multiLevelType w:val="multilevel"/>
    <w:tmpl w:val="600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44DA5"/>
    <w:multiLevelType w:val="hybridMultilevel"/>
    <w:tmpl w:val="6AD4A23E"/>
    <w:lvl w:ilvl="0" w:tplc="3F8433C4">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87B57"/>
    <w:multiLevelType w:val="hybridMultilevel"/>
    <w:tmpl w:val="027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F4AC7"/>
    <w:multiLevelType w:val="hybridMultilevel"/>
    <w:tmpl w:val="E32EE6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DBE6A8A"/>
    <w:multiLevelType w:val="hybridMultilevel"/>
    <w:tmpl w:val="1B4A56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1141CC"/>
    <w:multiLevelType w:val="hybridMultilevel"/>
    <w:tmpl w:val="C3400EA4"/>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FAA172F"/>
    <w:multiLevelType w:val="hybridMultilevel"/>
    <w:tmpl w:val="38105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CC66C5"/>
    <w:multiLevelType w:val="hybridMultilevel"/>
    <w:tmpl w:val="4320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4212E"/>
    <w:multiLevelType w:val="hybridMultilevel"/>
    <w:tmpl w:val="1A3C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9386C"/>
    <w:multiLevelType w:val="hybridMultilevel"/>
    <w:tmpl w:val="75E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72934"/>
    <w:multiLevelType w:val="hybridMultilevel"/>
    <w:tmpl w:val="F2E86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3E12CE2"/>
    <w:multiLevelType w:val="multilevel"/>
    <w:tmpl w:val="310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102C5"/>
    <w:multiLevelType w:val="hybridMultilevel"/>
    <w:tmpl w:val="F89A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D6E2E"/>
    <w:multiLevelType w:val="hybridMultilevel"/>
    <w:tmpl w:val="7A581F14"/>
    <w:lvl w:ilvl="0" w:tplc="87F08BAA">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A2875"/>
    <w:multiLevelType w:val="hybridMultilevel"/>
    <w:tmpl w:val="12629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1A3116"/>
    <w:multiLevelType w:val="hybridMultilevel"/>
    <w:tmpl w:val="8C68E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64E57"/>
    <w:multiLevelType w:val="hybridMultilevel"/>
    <w:tmpl w:val="9E8E40B4"/>
    <w:lvl w:ilvl="0" w:tplc="A2F8AEA0">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A6D31"/>
    <w:multiLevelType w:val="hybridMultilevel"/>
    <w:tmpl w:val="78AE09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12"/>
  </w:num>
  <w:num w:numId="5">
    <w:abstractNumId w:val="17"/>
  </w:num>
  <w:num w:numId="6">
    <w:abstractNumId w:val="16"/>
  </w:num>
  <w:num w:numId="7">
    <w:abstractNumId w:val="5"/>
  </w:num>
  <w:num w:numId="8">
    <w:abstractNumId w:val="15"/>
  </w:num>
  <w:num w:numId="9">
    <w:abstractNumId w:val="4"/>
  </w:num>
  <w:num w:numId="10">
    <w:abstractNumId w:val="13"/>
  </w:num>
  <w:num w:numId="11">
    <w:abstractNumId w:val="21"/>
  </w:num>
  <w:num w:numId="12">
    <w:abstractNumId w:val="0"/>
  </w:num>
  <w:num w:numId="13">
    <w:abstractNumId w:val="20"/>
  </w:num>
  <w:num w:numId="14">
    <w:abstractNumId w:val="22"/>
  </w:num>
  <w:num w:numId="15">
    <w:abstractNumId w:val="10"/>
  </w:num>
  <w:num w:numId="16">
    <w:abstractNumId w:val="23"/>
  </w:num>
  <w:num w:numId="17">
    <w:abstractNumId w:val="3"/>
  </w:num>
  <w:num w:numId="18">
    <w:abstractNumId w:val="1"/>
  </w:num>
  <w:num w:numId="19">
    <w:abstractNumId w:val="14"/>
  </w:num>
  <w:num w:numId="20">
    <w:abstractNumId w:val="8"/>
  </w:num>
  <w:num w:numId="21">
    <w:abstractNumId w:val="7"/>
  </w:num>
  <w:num w:numId="22">
    <w:abstractNumId w:val="19"/>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6"/>
    <w:rsid w:val="000315EB"/>
    <w:rsid w:val="00040187"/>
    <w:rsid w:val="00054AFE"/>
    <w:rsid w:val="000744FF"/>
    <w:rsid w:val="00082755"/>
    <w:rsid w:val="00093C27"/>
    <w:rsid w:val="0009420A"/>
    <w:rsid w:val="00123AF5"/>
    <w:rsid w:val="00141856"/>
    <w:rsid w:val="00143F7A"/>
    <w:rsid w:val="0014714B"/>
    <w:rsid w:val="00156447"/>
    <w:rsid w:val="00163157"/>
    <w:rsid w:val="001A7982"/>
    <w:rsid w:val="001B32F0"/>
    <w:rsid w:val="001C699C"/>
    <w:rsid w:val="002003D7"/>
    <w:rsid w:val="00203F86"/>
    <w:rsid w:val="0021452A"/>
    <w:rsid w:val="00224E66"/>
    <w:rsid w:val="002270F1"/>
    <w:rsid w:val="002406FC"/>
    <w:rsid w:val="002451FD"/>
    <w:rsid w:val="00276779"/>
    <w:rsid w:val="0028662D"/>
    <w:rsid w:val="002B23AB"/>
    <w:rsid w:val="002C2A70"/>
    <w:rsid w:val="00302517"/>
    <w:rsid w:val="00306146"/>
    <w:rsid w:val="00311505"/>
    <w:rsid w:val="00317E74"/>
    <w:rsid w:val="00321214"/>
    <w:rsid w:val="00330639"/>
    <w:rsid w:val="00331EBE"/>
    <w:rsid w:val="00342ADF"/>
    <w:rsid w:val="00342C21"/>
    <w:rsid w:val="00350D1A"/>
    <w:rsid w:val="00361E9C"/>
    <w:rsid w:val="003961D3"/>
    <w:rsid w:val="003A39E1"/>
    <w:rsid w:val="00467CCB"/>
    <w:rsid w:val="00476735"/>
    <w:rsid w:val="004A1EE4"/>
    <w:rsid w:val="004A3478"/>
    <w:rsid w:val="004B23BD"/>
    <w:rsid w:val="004B3A42"/>
    <w:rsid w:val="004C6962"/>
    <w:rsid w:val="004D4594"/>
    <w:rsid w:val="004F4B9D"/>
    <w:rsid w:val="00525C60"/>
    <w:rsid w:val="00557C3C"/>
    <w:rsid w:val="0057195C"/>
    <w:rsid w:val="005952C7"/>
    <w:rsid w:val="005A6869"/>
    <w:rsid w:val="005A74B9"/>
    <w:rsid w:val="005E58E9"/>
    <w:rsid w:val="00601292"/>
    <w:rsid w:val="006104EE"/>
    <w:rsid w:val="00622DA3"/>
    <w:rsid w:val="00645D91"/>
    <w:rsid w:val="0066341E"/>
    <w:rsid w:val="00694C63"/>
    <w:rsid w:val="006B6308"/>
    <w:rsid w:val="006F2BFC"/>
    <w:rsid w:val="00700728"/>
    <w:rsid w:val="00752636"/>
    <w:rsid w:val="00767E32"/>
    <w:rsid w:val="00773512"/>
    <w:rsid w:val="007D31B6"/>
    <w:rsid w:val="008326CC"/>
    <w:rsid w:val="00865416"/>
    <w:rsid w:val="008B6A42"/>
    <w:rsid w:val="008C5F83"/>
    <w:rsid w:val="008D571F"/>
    <w:rsid w:val="0090064A"/>
    <w:rsid w:val="009041F3"/>
    <w:rsid w:val="0093442E"/>
    <w:rsid w:val="0094598A"/>
    <w:rsid w:val="00986E8B"/>
    <w:rsid w:val="00992F76"/>
    <w:rsid w:val="009A3A4C"/>
    <w:rsid w:val="009A64FF"/>
    <w:rsid w:val="009B6405"/>
    <w:rsid w:val="00A22417"/>
    <w:rsid w:val="00A31719"/>
    <w:rsid w:val="00A62A63"/>
    <w:rsid w:val="00A71B86"/>
    <w:rsid w:val="00AF4DEC"/>
    <w:rsid w:val="00AF5EF0"/>
    <w:rsid w:val="00B068CD"/>
    <w:rsid w:val="00B7372A"/>
    <w:rsid w:val="00B81672"/>
    <w:rsid w:val="00B91F95"/>
    <w:rsid w:val="00B93250"/>
    <w:rsid w:val="00BA0BF0"/>
    <w:rsid w:val="00BA4BD8"/>
    <w:rsid w:val="00BD72BC"/>
    <w:rsid w:val="00BE098E"/>
    <w:rsid w:val="00C179C7"/>
    <w:rsid w:val="00C406A0"/>
    <w:rsid w:val="00C5351E"/>
    <w:rsid w:val="00C54501"/>
    <w:rsid w:val="00C601B3"/>
    <w:rsid w:val="00C61CE3"/>
    <w:rsid w:val="00C644C5"/>
    <w:rsid w:val="00C74B15"/>
    <w:rsid w:val="00C90F0F"/>
    <w:rsid w:val="00CA5F5B"/>
    <w:rsid w:val="00CC1B26"/>
    <w:rsid w:val="00CC23E6"/>
    <w:rsid w:val="00CC37FB"/>
    <w:rsid w:val="00CD240E"/>
    <w:rsid w:val="00CD325B"/>
    <w:rsid w:val="00CF3C8D"/>
    <w:rsid w:val="00D02DA3"/>
    <w:rsid w:val="00D811C8"/>
    <w:rsid w:val="00DB0AEB"/>
    <w:rsid w:val="00DF06B8"/>
    <w:rsid w:val="00E60ADE"/>
    <w:rsid w:val="00E62A5C"/>
    <w:rsid w:val="00E904D3"/>
    <w:rsid w:val="00EA7938"/>
    <w:rsid w:val="00EB0904"/>
    <w:rsid w:val="00ED3836"/>
    <w:rsid w:val="00ED40F4"/>
    <w:rsid w:val="00EF75DA"/>
    <w:rsid w:val="00F07EBD"/>
    <w:rsid w:val="00F2783E"/>
    <w:rsid w:val="00F35B65"/>
    <w:rsid w:val="00F46C87"/>
    <w:rsid w:val="00F71F59"/>
    <w:rsid w:val="00F72FDC"/>
    <w:rsid w:val="00F736AB"/>
    <w:rsid w:val="00F92F20"/>
    <w:rsid w:val="00FA19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FA9A2B33-F480-449B-8690-ED76D37E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4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146"/>
  </w:style>
  <w:style w:type="paragraph" w:styleId="Footer">
    <w:name w:val="footer"/>
    <w:basedOn w:val="Normal"/>
    <w:link w:val="FooterChar"/>
    <w:uiPriority w:val="99"/>
    <w:semiHidden/>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rPr>
      <w:sz w:val="22"/>
      <w:szCs w:val="22"/>
      <w:lang w:val="en-US" w:eastAsia="en-US"/>
    </w:rPr>
  </w:style>
  <w:style w:type="paragraph" w:styleId="ListParagraph">
    <w:name w:val="List Paragraph"/>
    <w:aliases w:val="Normal bullet 2,List Paragraph1"/>
    <w:basedOn w:val="Normal"/>
    <w:link w:val="ListParagraphChar"/>
    <w:uiPriority w:val="34"/>
    <w:qFormat/>
    <w:rsid w:val="008D571F"/>
    <w:pPr>
      <w:ind w:left="720"/>
      <w:contextualSpacing/>
    </w:pPr>
  </w:style>
  <w:style w:type="character" w:styleId="CommentReference">
    <w:name w:val="annotation reference"/>
    <w:basedOn w:val="DefaultParagraphFont"/>
    <w:uiPriority w:val="99"/>
    <w:semiHidden/>
    <w:unhideWhenUsed/>
    <w:rsid w:val="009041F3"/>
    <w:rPr>
      <w:sz w:val="16"/>
      <w:szCs w:val="16"/>
    </w:rPr>
  </w:style>
  <w:style w:type="paragraph" w:styleId="CommentText">
    <w:name w:val="annotation text"/>
    <w:basedOn w:val="Normal"/>
    <w:link w:val="CommentTextChar"/>
    <w:uiPriority w:val="99"/>
    <w:semiHidden/>
    <w:unhideWhenUsed/>
    <w:rsid w:val="009041F3"/>
    <w:pPr>
      <w:spacing w:line="240" w:lineRule="auto"/>
    </w:pPr>
    <w:rPr>
      <w:sz w:val="20"/>
      <w:szCs w:val="20"/>
    </w:rPr>
  </w:style>
  <w:style w:type="character" w:customStyle="1" w:styleId="CommentTextChar">
    <w:name w:val="Comment Text Char"/>
    <w:basedOn w:val="DefaultParagraphFont"/>
    <w:link w:val="CommentText"/>
    <w:uiPriority w:val="99"/>
    <w:semiHidden/>
    <w:rsid w:val="009041F3"/>
    <w:rPr>
      <w:lang w:val="en-US" w:eastAsia="en-US"/>
    </w:rPr>
  </w:style>
  <w:style w:type="paragraph" w:styleId="CommentSubject">
    <w:name w:val="annotation subject"/>
    <w:basedOn w:val="CommentText"/>
    <w:next w:val="CommentText"/>
    <w:link w:val="CommentSubjectChar"/>
    <w:uiPriority w:val="99"/>
    <w:semiHidden/>
    <w:unhideWhenUsed/>
    <w:rsid w:val="009041F3"/>
    <w:rPr>
      <w:b/>
      <w:bCs/>
    </w:rPr>
  </w:style>
  <w:style w:type="character" w:customStyle="1" w:styleId="CommentSubjectChar">
    <w:name w:val="Comment Subject Char"/>
    <w:basedOn w:val="CommentTextChar"/>
    <w:link w:val="CommentSubject"/>
    <w:uiPriority w:val="99"/>
    <w:semiHidden/>
    <w:rsid w:val="009041F3"/>
    <w:rPr>
      <w:b/>
      <w:bCs/>
      <w:lang w:val="en-US" w:eastAsia="en-US"/>
    </w:rPr>
  </w:style>
  <w:style w:type="table" w:styleId="TableGrid">
    <w:name w:val="Table Grid"/>
    <w:basedOn w:val="TableNormal"/>
    <w:uiPriority w:val="59"/>
    <w:rsid w:val="00C5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34"/>
    <w:rsid w:val="00CD240E"/>
    <w:rPr>
      <w:sz w:val="22"/>
      <w:szCs w:val="22"/>
      <w:lang w:val="en-US" w:eastAsia="en-US"/>
    </w:rPr>
  </w:style>
  <w:style w:type="character" w:styleId="Hyperlink">
    <w:name w:val="Hyperlink"/>
    <w:basedOn w:val="DefaultParagraphFont"/>
    <w:uiPriority w:val="99"/>
    <w:unhideWhenUsed/>
    <w:rsid w:val="0028662D"/>
    <w:rPr>
      <w:color w:val="0000FF" w:themeColor="hyperlink"/>
      <w:u w:val="single"/>
    </w:rPr>
  </w:style>
  <w:style w:type="paragraph" w:styleId="Subtitle">
    <w:name w:val="Subtitle"/>
    <w:basedOn w:val="Normal"/>
    <w:next w:val="Normal"/>
    <w:link w:val="SubtitleChar"/>
    <w:uiPriority w:val="11"/>
    <w:qFormat/>
    <w:rsid w:val="006B6308"/>
    <w:pPr>
      <w:numPr>
        <w:ilvl w:val="1"/>
      </w:numPr>
      <w:spacing w:after="0"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B6308"/>
    <w:rPr>
      <w:rFonts w:ascii="Cambria" w:eastAsia="Times New Roman" w:hAnsi="Cambria"/>
      <w:i/>
      <w:iCs/>
      <w:color w:val="4F81BD"/>
      <w:spacing w:val="15"/>
      <w:sz w:val="24"/>
      <w:szCs w:val="24"/>
      <w:lang w:val="en-US" w:eastAsia="en-US"/>
    </w:rPr>
  </w:style>
  <w:style w:type="character" w:styleId="UnresolvedMention">
    <w:name w:val="Unresolved Mention"/>
    <w:basedOn w:val="DefaultParagraphFont"/>
    <w:uiPriority w:val="99"/>
    <w:semiHidden/>
    <w:unhideWhenUsed/>
    <w:rsid w:val="00093C27"/>
    <w:rPr>
      <w:color w:val="808080"/>
      <w:shd w:val="clear" w:color="auto" w:fill="E6E6E6"/>
    </w:rPr>
  </w:style>
  <w:style w:type="character" w:styleId="FollowedHyperlink">
    <w:name w:val="FollowedHyperlink"/>
    <w:basedOn w:val="DefaultParagraphFont"/>
    <w:uiPriority w:val="99"/>
    <w:semiHidden/>
    <w:unhideWhenUsed/>
    <w:rsid w:val="00143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513">
      <w:bodyDiv w:val="1"/>
      <w:marLeft w:val="0"/>
      <w:marRight w:val="0"/>
      <w:marTop w:val="0"/>
      <w:marBottom w:val="0"/>
      <w:divBdr>
        <w:top w:val="none" w:sz="0" w:space="0" w:color="auto"/>
        <w:left w:val="none" w:sz="0" w:space="0" w:color="auto"/>
        <w:bottom w:val="none" w:sz="0" w:space="0" w:color="auto"/>
        <w:right w:val="none" w:sz="0" w:space="0" w:color="auto"/>
      </w:divBdr>
    </w:div>
    <w:div w:id="612590166">
      <w:bodyDiv w:val="1"/>
      <w:marLeft w:val="0"/>
      <w:marRight w:val="0"/>
      <w:marTop w:val="0"/>
      <w:marBottom w:val="0"/>
      <w:divBdr>
        <w:top w:val="none" w:sz="0" w:space="0" w:color="auto"/>
        <w:left w:val="none" w:sz="0" w:space="0" w:color="auto"/>
        <w:bottom w:val="none" w:sz="0" w:space="0" w:color="auto"/>
        <w:right w:val="none" w:sz="0" w:space="0" w:color="auto"/>
      </w:divBdr>
    </w:div>
    <w:div w:id="1069184439">
      <w:bodyDiv w:val="1"/>
      <w:marLeft w:val="0"/>
      <w:marRight w:val="0"/>
      <w:marTop w:val="0"/>
      <w:marBottom w:val="0"/>
      <w:divBdr>
        <w:top w:val="none" w:sz="0" w:space="0" w:color="auto"/>
        <w:left w:val="none" w:sz="0" w:space="0" w:color="auto"/>
        <w:bottom w:val="none" w:sz="0" w:space="0" w:color="auto"/>
        <w:right w:val="none" w:sz="0" w:space="0" w:color="auto"/>
      </w:divBdr>
    </w:div>
    <w:div w:id="1090009779">
      <w:bodyDiv w:val="1"/>
      <w:marLeft w:val="0"/>
      <w:marRight w:val="0"/>
      <w:marTop w:val="0"/>
      <w:marBottom w:val="0"/>
      <w:divBdr>
        <w:top w:val="none" w:sz="0" w:space="0" w:color="auto"/>
        <w:left w:val="none" w:sz="0" w:space="0" w:color="auto"/>
        <w:bottom w:val="none" w:sz="0" w:space="0" w:color="auto"/>
        <w:right w:val="none" w:sz="0" w:space="0" w:color="auto"/>
      </w:divBdr>
    </w:div>
    <w:div w:id="18875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ca.ro/cadru-strategic/prezentare-poca-2014-2020/" TargetMode="External"/><Relationship Id="rId13" Type="http://schemas.openxmlformats.org/officeDocument/2006/relationships/hyperlink" Target="http://sgg.gov.ro/docs/File/UPP/doc/proiecte_finale/Strategia%20privind%20mai%20buna%20reglementare%202014%20-%202020_3%20decembrie_varianta%20final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pfbl.mdrap.ro/documents/strategia_administratiei_publice/Plan_integrat_de_simplificare-martie_2017.pdf" TargetMode="External"/><Relationship Id="rId17" Type="http://schemas.openxmlformats.org/officeDocument/2006/relationships/hyperlink" Target="http://poca.ro/monitorizare-program/raport-anual-de-implementare/" TargetMode="External"/><Relationship Id="rId2" Type="http://schemas.openxmlformats.org/officeDocument/2006/relationships/numbering" Target="numbering.xml"/><Relationship Id="rId16" Type="http://schemas.openxmlformats.org/officeDocument/2006/relationships/hyperlink" Target="http://poca.ro/solicitare-finant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ro/strategii-si-politici/strategii-nationale/" TargetMode="External"/><Relationship Id="rId5" Type="http://schemas.openxmlformats.org/officeDocument/2006/relationships/webSettings" Target="webSettings.xml"/><Relationship Id="rId15" Type="http://schemas.openxmlformats.org/officeDocument/2006/relationships/hyperlink" Target="http://www.anfp.gov.ro/R/Doc/2016/Strategii/strategia%20functiei%20publice.pdf" TargetMode="External"/><Relationship Id="rId10" Type="http://schemas.openxmlformats.org/officeDocument/2006/relationships/hyperlink" Target="http://www.just.ro/strategii-si-politici/strategii-nationa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fbl.mdrap.ro/documents/strategia_administratiei_publice/Strategia_pentru_consolidarea_administratiei_publice_2014-2020.pdf" TargetMode="External"/><Relationship Id="rId14" Type="http://schemas.openxmlformats.org/officeDocument/2006/relationships/hyperlink" Target="http://www.anrmap.ro/ro/web/public/strategia-nationala-in-domeniul-achizitiilor-pub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206EA-B544-4EE7-A4DA-40A62B8A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steluta.bulaceanu</cp:lastModifiedBy>
  <cp:revision>2</cp:revision>
  <cp:lastPrinted>2016-03-31T11:01:00Z</cp:lastPrinted>
  <dcterms:created xsi:type="dcterms:W3CDTF">2018-07-05T14:01:00Z</dcterms:created>
  <dcterms:modified xsi:type="dcterms:W3CDTF">2018-07-05T14:01:00Z</dcterms:modified>
</cp:coreProperties>
</file>