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57" w:rsidRPr="00774608" w:rsidRDefault="00384657" w:rsidP="00A17F94">
      <w:pPr>
        <w:spacing w:after="120" w:line="240" w:lineRule="auto"/>
        <w:jc w:val="both"/>
        <w:rPr>
          <w:rFonts w:cs="Calibri"/>
          <w:vertAlign w:val="superscript"/>
          <w:lang w:val="ro-RO"/>
        </w:rPr>
      </w:pPr>
    </w:p>
    <w:p w:rsidR="00A828C8" w:rsidRPr="00774608" w:rsidRDefault="00A828C8" w:rsidP="00A17F94">
      <w:pPr>
        <w:spacing w:after="120" w:line="240" w:lineRule="auto"/>
        <w:jc w:val="both"/>
        <w:rPr>
          <w:rFonts w:cs="Calibri"/>
          <w:lang w:val="ro-RO"/>
        </w:rPr>
      </w:pPr>
    </w:p>
    <w:p w:rsidR="00A828C8" w:rsidRPr="00774608" w:rsidRDefault="00A828C8" w:rsidP="00A17F94">
      <w:pPr>
        <w:spacing w:after="120" w:line="240" w:lineRule="auto"/>
        <w:jc w:val="both"/>
        <w:rPr>
          <w:rFonts w:cs="Calibri"/>
          <w:b/>
          <w:color w:val="1F497D"/>
          <w:lang w:val="ro-RO"/>
        </w:rPr>
      </w:pPr>
    </w:p>
    <w:p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rsidTr="001922EC">
        <w:trPr>
          <w:trHeight w:val="4067"/>
        </w:trPr>
        <w:tc>
          <w:tcPr>
            <w:tcW w:w="9684" w:type="dxa"/>
            <w:shd w:val="clear" w:color="auto" w:fill="BFBFBF"/>
          </w:tcPr>
          <w:p w:rsidR="00A828C8" w:rsidRPr="00774608" w:rsidRDefault="00A828C8" w:rsidP="00A17F94">
            <w:pPr>
              <w:spacing w:after="120" w:line="240" w:lineRule="auto"/>
              <w:jc w:val="both"/>
              <w:rPr>
                <w:rFonts w:cs="Calibri"/>
                <w:b/>
                <w:color w:val="1F497D"/>
                <w:lang w:val="ro-RO"/>
              </w:rPr>
            </w:pPr>
          </w:p>
          <w:p w:rsidR="00A828C8" w:rsidRPr="00774608" w:rsidRDefault="00A828C8" w:rsidP="00A17F94">
            <w:pPr>
              <w:spacing w:after="120" w:line="240" w:lineRule="auto"/>
              <w:jc w:val="center"/>
              <w:rPr>
                <w:rFonts w:cs="Calibri"/>
                <w:b/>
                <w:lang w:val="ro-RO"/>
              </w:rPr>
            </w:pPr>
            <w:r w:rsidRPr="00774608">
              <w:rPr>
                <w:rFonts w:cs="Calibri"/>
                <w:b/>
                <w:lang w:val="ro-RO"/>
              </w:rPr>
              <w:t>PROGRAMUL OPERAȚIONAL CAPACITATE ADMINISTRATIVĂ</w:t>
            </w:r>
          </w:p>
          <w:p w:rsidR="00390A4A" w:rsidRPr="00774608" w:rsidRDefault="00390A4A" w:rsidP="00A17F94">
            <w:pPr>
              <w:spacing w:after="120" w:line="240" w:lineRule="auto"/>
              <w:jc w:val="center"/>
              <w:rPr>
                <w:rFonts w:cs="Calibri"/>
                <w:b/>
                <w:lang w:val="ro-RO"/>
              </w:rPr>
            </w:pPr>
            <w:r w:rsidRPr="00774608">
              <w:rPr>
                <w:rFonts w:cs="Calibri"/>
                <w:b/>
                <w:lang w:val="ro-RO"/>
              </w:rPr>
              <w:t>2014 - 2020</w:t>
            </w:r>
          </w:p>
          <w:p w:rsidR="00A828C8" w:rsidRPr="00774608" w:rsidRDefault="00A828C8" w:rsidP="00A17F94">
            <w:pPr>
              <w:spacing w:after="120" w:line="240" w:lineRule="auto"/>
              <w:jc w:val="center"/>
              <w:rPr>
                <w:rFonts w:cs="Calibri"/>
                <w:lang w:val="ro-RO"/>
              </w:rPr>
            </w:pPr>
          </w:p>
          <w:p w:rsidR="00A828C8" w:rsidRPr="00774608" w:rsidRDefault="00A828C8" w:rsidP="00A17F94">
            <w:pPr>
              <w:spacing w:after="120" w:line="240" w:lineRule="auto"/>
              <w:jc w:val="center"/>
              <w:rPr>
                <w:rFonts w:cs="Calibri"/>
                <w:b/>
                <w:lang w:val="ro-RO"/>
              </w:rPr>
            </w:pPr>
          </w:p>
          <w:p w:rsidR="00A828C8" w:rsidRPr="00774608" w:rsidRDefault="00A828C8" w:rsidP="00A17F94">
            <w:pPr>
              <w:spacing w:after="120" w:line="240" w:lineRule="auto"/>
              <w:jc w:val="center"/>
              <w:rPr>
                <w:rFonts w:cs="Calibri"/>
                <w:b/>
                <w:lang w:val="ro-RO"/>
              </w:rPr>
            </w:pPr>
            <w:r w:rsidRPr="00774608">
              <w:rPr>
                <w:rFonts w:cs="Calibri"/>
                <w:b/>
                <w:lang w:val="ro-RO"/>
              </w:rPr>
              <w:t>GHIDUL SOLICITANTULUI</w:t>
            </w:r>
          </w:p>
          <w:p w:rsidR="00A828C8" w:rsidRPr="00774608" w:rsidRDefault="00A828C8" w:rsidP="00A17F94">
            <w:pPr>
              <w:spacing w:after="120" w:line="240" w:lineRule="auto"/>
              <w:jc w:val="center"/>
              <w:rPr>
                <w:rFonts w:cs="Calibri"/>
                <w:b/>
                <w:lang w:val="ro-RO"/>
              </w:rPr>
            </w:pPr>
          </w:p>
          <w:p w:rsidR="00A828C8" w:rsidRPr="00774608" w:rsidRDefault="00A828C8" w:rsidP="00A17F94">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B57ABA" w:rsidRPr="00774608">
              <w:rPr>
                <w:rFonts w:cs="Calibri"/>
                <w:b/>
                <w:lang w:val="ro-RO"/>
              </w:rPr>
              <w:t xml:space="preserve"> </w:t>
            </w:r>
            <w:r w:rsidR="00E5012B" w:rsidRPr="00774608">
              <w:rPr>
                <w:rFonts w:cs="Calibri"/>
                <w:b/>
                <w:lang w:val="ro-RO"/>
              </w:rPr>
              <w:t>399</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B57ABA" w:rsidRPr="00774608">
              <w:rPr>
                <w:rFonts w:cs="Calibri"/>
                <w:b/>
                <w:lang w:val="ro-RO"/>
              </w:rPr>
              <w:t>1</w:t>
            </w:r>
            <w:r w:rsidR="00AB7AF4" w:rsidRPr="00774608">
              <w:rPr>
                <w:rFonts w:cs="Calibri"/>
                <w:b/>
                <w:lang w:val="ro-RO"/>
              </w:rPr>
              <w:t xml:space="preserve"> (</w:t>
            </w:r>
            <w:r w:rsidR="00BB0B0F" w:rsidRPr="00774608">
              <w:rPr>
                <w:rFonts w:cs="Calibri"/>
                <w:b/>
                <w:lang w:val="ro-RO"/>
              </w:rPr>
              <w:t>I</w:t>
            </w:r>
            <w:r w:rsidR="00C91302" w:rsidRPr="00774608">
              <w:rPr>
                <w:rFonts w:cs="Calibri"/>
                <w:b/>
                <w:lang w:val="ro-RO"/>
              </w:rPr>
              <w:t>P</w:t>
            </w:r>
            <w:r w:rsidR="00BB0B0F" w:rsidRPr="00774608">
              <w:rPr>
                <w:rFonts w:cs="Calibri"/>
                <w:b/>
                <w:lang w:val="ro-RO"/>
              </w:rPr>
              <w:t>1</w:t>
            </w:r>
            <w:r w:rsidR="00E5012B" w:rsidRPr="00774608">
              <w:rPr>
                <w:rFonts w:cs="Calibri"/>
                <w:b/>
                <w:lang w:val="ro-RO"/>
              </w:rPr>
              <w:t>2</w:t>
            </w:r>
            <w:r w:rsidR="00B168A3" w:rsidRPr="00774608">
              <w:rPr>
                <w:rFonts w:cs="Calibri"/>
                <w:b/>
                <w:lang w:val="ro-RO"/>
              </w:rPr>
              <w:t>/201</w:t>
            </w:r>
            <w:r w:rsidR="00BB0B0F" w:rsidRPr="00774608">
              <w:rPr>
                <w:rFonts w:cs="Calibri"/>
                <w:b/>
                <w:lang w:val="ro-RO"/>
              </w:rPr>
              <w:t>8</w:t>
            </w:r>
            <w:r w:rsidR="00AB7AF4" w:rsidRPr="00774608">
              <w:rPr>
                <w:rFonts w:cs="Calibri"/>
                <w:b/>
                <w:lang w:val="ro-RO"/>
              </w:rPr>
              <w:t>)</w:t>
            </w:r>
          </w:p>
          <w:p w:rsidR="00A828C8" w:rsidRPr="00774608" w:rsidRDefault="00A828C8" w:rsidP="00A17F94">
            <w:pPr>
              <w:spacing w:after="120" w:line="240" w:lineRule="auto"/>
              <w:jc w:val="center"/>
              <w:rPr>
                <w:rFonts w:cs="Calibri"/>
                <w:b/>
                <w:lang w:val="ro-RO"/>
              </w:rPr>
            </w:pPr>
          </w:p>
          <w:p w:rsidR="006D7452" w:rsidRPr="00774608" w:rsidRDefault="00BB0B0F" w:rsidP="00A17F94">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acțiuni de consolidare a capacității </w:t>
            </w:r>
            <w:r w:rsidR="000D52AE" w:rsidRPr="00774608">
              <w:rPr>
                <w:rFonts w:cs="Calibri"/>
                <w:b/>
                <w:i/>
                <w:lang w:val="ro-RO"/>
              </w:rPr>
              <w:t xml:space="preserve">autorităților și </w:t>
            </w:r>
            <w:r w:rsidRPr="00774608">
              <w:rPr>
                <w:rFonts w:cs="Calibri"/>
                <w:b/>
                <w:i/>
                <w:lang w:val="ro-RO"/>
              </w:rPr>
              <w:t xml:space="preserve">instituțiilor </w:t>
            </w:r>
            <w:r w:rsidR="000D52AE" w:rsidRPr="00774608">
              <w:rPr>
                <w:rFonts w:cs="Calibri"/>
                <w:b/>
                <w:i/>
                <w:lang w:val="ro-RO"/>
              </w:rPr>
              <w:t xml:space="preserve">publice centrale </w:t>
            </w:r>
            <w:bookmarkEnd w:id="0"/>
          </w:p>
        </w:tc>
      </w:tr>
    </w:tbl>
    <w:p w:rsidR="00815A1C" w:rsidRPr="00774608" w:rsidRDefault="00815A1C" w:rsidP="00A17F94">
      <w:pPr>
        <w:spacing w:after="120" w:line="240" w:lineRule="auto"/>
        <w:jc w:val="both"/>
        <w:rPr>
          <w:rFonts w:cs="Calibri"/>
          <w:lang w:val="ro-RO"/>
        </w:rPr>
      </w:pPr>
    </w:p>
    <w:p w:rsidR="00815A1C" w:rsidRPr="00774608" w:rsidRDefault="00815A1C" w:rsidP="00A17F94">
      <w:pPr>
        <w:spacing w:after="120" w:line="240" w:lineRule="auto"/>
        <w:jc w:val="both"/>
        <w:rPr>
          <w:rFonts w:cs="Calibri"/>
          <w:color w:val="17365D"/>
          <w:lang w:val="ro-RO"/>
        </w:rPr>
      </w:pPr>
    </w:p>
    <w:p w:rsidR="00B168A3" w:rsidRPr="00774608" w:rsidRDefault="00815A1C" w:rsidP="00A17F94">
      <w:pPr>
        <w:spacing w:after="120" w:line="240" w:lineRule="auto"/>
        <w:ind w:right="284"/>
        <w:jc w:val="both"/>
        <w:rPr>
          <w:rFonts w:cs="Calibri"/>
          <w:b/>
          <w:i/>
          <w:lang w:val="ro-RO"/>
        </w:rPr>
      </w:pPr>
      <w:r w:rsidRPr="00774608">
        <w:rPr>
          <w:rFonts w:cs="Calibri"/>
          <w:lang w:val="ro-RO"/>
        </w:rPr>
        <w:t xml:space="preserve">Obiectivul Specific </w:t>
      </w:r>
      <w:r w:rsidR="00BB0B0F" w:rsidRPr="00774608">
        <w:rPr>
          <w:rFonts w:cs="Calibri"/>
          <w:lang w:val="ro-RO"/>
        </w:rPr>
        <w:t>1</w:t>
      </w:r>
      <w:r w:rsidR="00B168A3" w:rsidRPr="00774608">
        <w:rPr>
          <w:rFonts w:cs="Calibri"/>
          <w:lang w:val="ro-RO"/>
        </w:rPr>
        <w:t>.</w:t>
      </w:r>
      <w:r w:rsidR="000D52AE" w:rsidRPr="00774608">
        <w:rPr>
          <w:rFonts w:cs="Calibri"/>
          <w:lang w:val="ro-RO"/>
        </w:rPr>
        <w:t>1</w:t>
      </w:r>
      <w:r w:rsidR="00B168A3" w:rsidRPr="00774608">
        <w:rPr>
          <w:rFonts w:cs="Calibri"/>
          <w:b/>
          <w:lang w:val="ro-RO"/>
        </w:rPr>
        <w:t>:</w:t>
      </w:r>
      <w:r w:rsidR="00AE333C" w:rsidRPr="00774608">
        <w:rPr>
          <w:rFonts w:cs="Calibri"/>
          <w:b/>
          <w:lang w:val="ro-RO"/>
        </w:rPr>
        <w:t xml:space="preserve"> </w:t>
      </w:r>
      <w:r w:rsidR="000D52AE"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rsidR="00280A6B" w:rsidRPr="00774608" w:rsidRDefault="00280A6B" w:rsidP="00A17F94">
      <w:pPr>
        <w:pStyle w:val="TOCHeading"/>
        <w:spacing w:before="0" w:after="120" w:line="240" w:lineRule="auto"/>
        <w:ind w:left="-180"/>
        <w:jc w:val="both"/>
        <w:rPr>
          <w:rFonts w:ascii="Calibri" w:hAnsi="Calibri" w:cs="Calibri"/>
          <w:sz w:val="22"/>
          <w:szCs w:val="22"/>
          <w:lang w:val="ro-RO"/>
        </w:rPr>
      </w:pPr>
    </w:p>
    <w:p w:rsidR="00F13955" w:rsidRDefault="00F13955"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Pr="00774608" w:rsidRDefault="009D4E9A" w:rsidP="00F13955">
      <w:pPr>
        <w:rPr>
          <w:rFonts w:cs="Calibri"/>
          <w:lang w:val="ro-RO" w:eastAsia="x-none"/>
        </w:rPr>
      </w:pPr>
    </w:p>
    <w:p w:rsidR="00392BED" w:rsidRPr="00392BED"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rsidTr="004356FD">
        <w:tc>
          <w:tcPr>
            <w:tcW w:w="9521" w:type="dxa"/>
          </w:tcPr>
          <w:p w:rsidR="004356FD" w:rsidRPr="00FF3A9C" w:rsidRDefault="004356FD" w:rsidP="004356FD">
            <w:pPr>
              <w:jc w:val="both"/>
            </w:pPr>
            <w:proofErr w:type="spellStart"/>
            <w:r>
              <w:rPr>
                <w:i/>
                <w:iCs/>
              </w:rPr>
              <w:t>Acest</w:t>
            </w:r>
            <w:proofErr w:type="spellEnd"/>
            <w:r>
              <w:rPr>
                <w:i/>
                <w:iCs/>
              </w:rPr>
              <w:t xml:space="preserve"> document nu are </w:t>
            </w:r>
            <w:proofErr w:type="spellStart"/>
            <w:r>
              <w:rPr>
                <w:i/>
                <w:iCs/>
              </w:rPr>
              <w:t>valoare</w:t>
            </w:r>
            <w:proofErr w:type="spellEnd"/>
            <w:r>
              <w:rPr>
                <w:i/>
                <w:iCs/>
              </w:rPr>
              <w:t xml:space="preserve"> de act </w:t>
            </w:r>
            <w:proofErr w:type="spellStart"/>
            <w:r>
              <w:rPr>
                <w:i/>
                <w:iCs/>
              </w:rPr>
              <w:t>normativ</w:t>
            </w:r>
            <w:proofErr w:type="spellEnd"/>
            <w:r>
              <w:rPr>
                <w:i/>
                <w:iCs/>
              </w:rPr>
              <w:t xml:space="preserve"> </w:t>
            </w:r>
            <w:proofErr w:type="spellStart"/>
            <w:r>
              <w:rPr>
                <w:i/>
                <w:iCs/>
              </w:rPr>
              <w:t>şi</w:t>
            </w:r>
            <w:proofErr w:type="spellEnd"/>
            <w:r>
              <w:rPr>
                <w:i/>
                <w:iCs/>
              </w:rPr>
              <w:t xml:space="preserve"> nu </w:t>
            </w:r>
            <w:proofErr w:type="spellStart"/>
            <w:r>
              <w:rPr>
                <w:i/>
                <w:iCs/>
              </w:rPr>
              <w:t>exonerează</w:t>
            </w:r>
            <w:proofErr w:type="spellEnd"/>
            <w:r>
              <w:rPr>
                <w:i/>
                <w:iCs/>
              </w:rPr>
              <w:t xml:space="preserve"> </w:t>
            </w:r>
            <w:proofErr w:type="spellStart"/>
            <w:r>
              <w:rPr>
                <w:i/>
                <w:iCs/>
              </w:rPr>
              <w:t>solicitanţii</w:t>
            </w:r>
            <w:proofErr w:type="spellEnd"/>
            <w:r>
              <w:rPr>
                <w:i/>
                <w:iCs/>
              </w:rPr>
              <w:t xml:space="preserve"> de </w:t>
            </w:r>
            <w:proofErr w:type="spellStart"/>
            <w:r>
              <w:rPr>
                <w:i/>
                <w:iCs/>
              </w:rPr>
              <w:t>obligația</w:t>
            </w:r>
            <w:proofErr w:type="spellEnd"/>
            <w:r>
              <w:rPr>
                <w:i/>
                <w:iCs/>
              </w:rPr>
              <w:t xml:space="preserve"> </w:t>
            </w:r>
            <w:proofErr w:type="spellStart"/>
            <w:r>
              <w:rPr>
                <w:i/>
                <w:iCs/>
              </w:rPr>
              <w:t>respectării</w:t>
            </w:r>
            <w:proofErr w:type="spellEnd"/>
            <w:r>
              <w:rPr>
                <w:i/>
                <w:iCs/>
              </w:rPr>
              <w:t xml:space="preserve"> </w:t>
            </w:r>
            <w:proofErr w:type="spellStart"/>
            <w:r>
              <w:rPr>
                <w:i/>
                <w:iCs/>
              </w:rPr>
              <w:t>legislaţiei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la </w:t>
            </w:r>
            <w:proofErr w:type="spellStart"/>
            <w:r>
              <w:rPr>
                <w:i/>
                <w:iCs/>
              </w:rPr>
              <w:t>nivel</w:t>
            </w:r>
            <w:proofErr w:type="spellEnd"/>
            <w:r>
              <w:rPr>
                <w:i/>
                <w:iCs/>
              </w:rPr>
              <w:t xml:space="preserve"> </w:t>
            </w:r>
            <w:proofErr w:type="spellStart"/>
            <w:r>
              <w:rPr>
                <w:i/>
                <w:iCs/>
              </w:rPr>
              <w:t>naţional</w:t>
            </w:r>
            <w:proofErr w:type="spellEnd"/>
            <w:r>
              <w:rPr>
                <w:i/>
                <w:iCs/>
              </w:rPr>
              <w:t xml:space="preserve"> </w:t>
            </w:r>
            <w:proofErr w:type="spellStart"/>
            <w:r>
              <w:rPr>
                <w:i/>
                <w:iCs/>
              </w:rPr>
              <w:t>şi</w:t>
            </w:r>
            <w:proofErr w:type="spellEnd"/>
            <w:r>
              <w:rPr>
                <w:i/>
                <w:iCs/>
              </w:rPr>
              <w:t xml:space="preserve"> </w:t>
            </w:r>
            <w:proofErr w:type="spellStart"/>
            <w:r>
              <w:rPr>
                <w:i/>
                <w:iCs/>
              </w:rPr>
              <w:t>european</w:t>
            </w:r>
            <w:proofErr w:type="spellEnd"/>
            <w:r>
              <w:rPr>
                <w:i/>
                <w:iCs/>
              </w:rPr>
              <w:t xml:space="preserve">. </w:t>
            </w:r>
            <w:proofErr w:type="spellStart"/>
            <w:r>
              <w:rPr>
                <w:i/>
                <w:iCs/>
              </w:rPr>
              <w:t>În</w:t>
            </w:r>
            <w:proofErr w:type="spellEnd"/>
            <w:r>
              <w:rPr>
                <w:i/>
                <w:iCs/>
              </w:rPr>
              <w:t xml:space="preserve"> </w:t>
            </w:r>
            <w:proofErr w:type="spellStart"/>
            <w:r>
              <w:rPr>
                <w:i/>
                <w:iCs/>
              </w:rPr>
              <w:t>caz</w:t>
            </w:r>
            <w:proofErr w:type="spellEnd"/>
            <w:r>
              <w:rPr>
                <w:i/>
                <w:iCs/>
              </w:rPr>
              <w:t xml:space="preserve"> de </w:t>
            </w:r>
            <w:proofErr w:type="spellStart"/>
            <w:r>
              <w:rPr>
                <w:i/>
                <w:iCs/>
              </w:rPr>
              <w:t>contradicție</w:t>
            </w:r>
            <w:proofErr w:type="spellEnd"/>
            <w:r>
              <w:rPr>
                <w:i/>
                <w:iCs/>
              </w:rPr>
              <w:t xml:space="preserve"> </w:t>
            </w:r>
            <w:proofErr w:type="spellStart"/>
            <w:r>
              <w:rPr>
                <w:i/>
                <w:iCs/>
              </w:rPr>
              <w:t>între</w:t>
            </w:r>
            <w:proofErr w:type="spellEnd"/>
            <w:r>
              <w:rPr>
                <w:i/>
                <w:iCs/>
              </w:rPr>
              <w:t xml:space="preserve"> </w:t>
            </w:r>
            <w:proofErr w:type="spellStart"/>
            <w:r>
              <w:rPr>
                <w:i/>
                <w:iCs/>
              </w:rPr>
              <w:t>prevederile</w:t>
            </w:r>
            <w:proofErr w:type="spellEnd"/>
            <w:r>
              <w:rPr>
                <w:i/>
                <w:iCs/>
              </w:rPr>
              <w:t xml:space="preserve"> </w:t>
            </w:r>
            <w:proofErr w:type="spellStart"/>
            <w:r>
              <w:rPr>
                <w:i/>
                <w:iCs/>
              </w:rPr>
              <w:t>prezentului</w:t>
            </w:r>
            <w:proofErr w:type="spellEnd"/>
            <w:r>
              <w:rPr>
                <w:i/>
                <w:iCs/>
              </w:rPr>
              <w:t xml:space="preserve"> </w:t>
            </w:r>
            <w:proofErr w:type="spellStart"/>
            <w:r>
              <w:rPr>
                <w:i/>
                <w:iCs/>
              </w:rPr>
              <w:t>ghid</w:t>
            </w:r>
            <w:proofErr w:type="spellEnd"/>
            <w:r>
              <w:rPr>
                <w:i/>
                <w:iCs/>
              </w:rPr>
              <w:t xml:space="preserve"> al </w:t>
            </w:r>
            <w:proofErr w:type="spellStart"/>
            <w:r>
              <w:rPr>
                <w:i/>
                <w:iCs/>
              </w:rPr>
              <w:t>solicitantului</w:t>
            </w:r>
            <w:proofErr w:type="spellEnd"/>
            <w:r>
              <w:rPr>
                <w:i/>
                <w:iCs/>
              </w:rPr>
              <w:t xml:space="preserve"> </w:t>
            </w:r>
            <w:proofErr w:type="spellStart"/>
            <w:r>
              <w:rPr>
                <w:i/>
                <w:iCs/>
              </w:rPr>
              <w:t>și</w:t>
            </w:r>
            <w:proofErr w:type="spellEnd"/>
            <w:r>
              <w:rPr>
                <w:i/>
                <w:iCs/>
              </w:rPr>
              <w:t xml:space="preserve"> </w:t>
            </w:r>
            <w:proofErr w:type="spellStart"/>
            <w:r>
              <w:rPr>
                <w:i/>
                <w:iCs/>
              </w:rPr>
              <w:t>prevederile</w:t>
            </w:r>
            <w:proofErr w:type="spellEnd"/>
            <w:r>
              <w:rPr>
                <w:i/>
                <w:iCs/>
              </w:rPr>
              <w:t xml:space="preserve"> </w:t>
            </w:r>
            <w:proofErr w:type="spellStart"/>
            <w:r>
              <w:rPr>
                <w:i/>
                <w:iCs/>
              </w:rPr>
              <w:t>legislației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w:t>
            </w:r>
            <w:proofErr w:type="spellStart"/>
            <w:r>
              <w:rPr>
                <w:i/>
                <w:iCs/>
              </w:rPr>
              <w:t>acestea</w:t>
            </w:r>
            <w:proofErr w:type="spellEnd"/>
            <w:r>
              <w:rPr>
                <w:i/>
                <w:iCs/>
              </w:rPr>
              <w:t xml:space="preserve"> din </w:t>
            </w:r>
            <w:proofErr w:type="spellStart"/>
            <w:r>
              <w:rPr>
                <w:i/>
                <w:iCs/>
              </w:rPr>
              <w:t>urmă</w:t>
            </w:r>
            <w:proofErr w:type="spellEnd"/>
            <w:r>
              <w:rPr>
                <w:i/>
                <w:iCs/>
              </w:rPr>
              <w:t xml:space="preserve"> </w:t>
            </w:r>
            <w:proofErr w:type="spellStart"/>
            <w:r>
              <w:rPr>
                <w:i/>
                <w:iCs/>
              </w:rPr>
              <w:t>prevalează</w:t>
            </w:r>
            <w:proofErr w:type="spellEnd"/>
          </w:p>
        </w:tc>
      </w:tr>
    </w:tbl>
    <w:p w:rsidR="00F17A67" w:rsidRDefault="00F17A67" w:rsidP="00B76B55">
      <w:pPr>
        <w:jc w:val="center"/>
        <w:rPr>
          <w:rFonts w:cs="Calibri"/>
          <w:lang w:val="ro-RO" w:eastAsia="x-none"/>
        </w:rPr>
      </w:pPr>
    </w:p>
    <w:p w:rsidR="009D4E9A" w:rsidRDefault="009D4E9A" w:rsidP="00B76B55">
      <w:pPr>
        <w:jc w:val="center"/>
        <w:rPr>
          <w:rFonts w:cs="Calibri"/>
          <w:lang w:val="ro-RO" w:eastAsia="x-none"/>
        </w:rPr>
      </w:pPr>
    </w:p>
    <w:p w:rsidR="009D4E9A" w:rsidRDefault="009D4E9A" w:rsidP="00B76B55">
      <w:pPr>
        <w:jc w:val="center"/>
        <w:rPr>
          <w:rFonts w:cs="Calibri"/>
          <w:lang w:val="ro-RO" w:eastAsia="x-none"/>
        </w:rPr>
      </w:pPr>
    </w:p>
    <w:p w:rsidR="00F17A67" w:rsidRPr="00774608" w:rsidRDefault="00F17A67" w:rsidP="00F13955">
      <w:pPr>
        <w:rPr>
          <w:rFonts w:cs="Calibri"/>
          <w:lang w:val="ro-RO" w:eastAsia="x-none"/>
        </w:rPr>
        <w:sectPr w:rsidR="00F17A67" w:rsidRPr="00774608"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rsidR="00A1096E" w:rsidRPr="00774608" w:rsidRDefault="00A1096E" w:rsidP="00A1096E">
      <w:pPr>
        <w:rPr>
          <w:rFonts w:cs="Calibri"/>
          <w:lang w:val="ro-RO" w:eastAsia="x-none"/>
        </w:rPr>
      </w:pPr>
    </w:p>
    <w:p w:rsidR="001144AA" w:rsidRPr="00774608" w:rsidRDefault="002775FD" w:rsidP="00A17F94">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t>Cuprins</w:t>
      </w:r>
    </w:p>
    <w:p w:rsidR="0063509A" w:rsidRPr="00774608" w:rsidRDefault="0063509A" w:rsidP="00A17F94">
      <w:pPr>
        <w:spacing w:after="120" w:line="240" w:lineRule="auto"/>
        <w:jc w:val="both"/>
        <w:rPr>
          <w:rFonts w:cs="Calibri"/>
          <w:lang w:val="ro-RO"/>
        </w:rPr>
      </w:pPr>
    </w:p>
    <w:p w:rsidR="004073D8" w:rsidRPr="00774608" w:rsidRDefault="00DA4126">
      <w:pPr>
        <w:pStyle w:val="TOC1"/>
        <w:rPr>
          <w:rFonts w:ascii="Calibri" w:eastAsia="Times New Roman" w:hAnsi="Calibri" w:cs="Calibr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510173684" w:history="1">
        <w:r w:rsidR="004073D8" w:rsidRPr="00774608">
          <w:rPr>
            <w:rStyle w:val="Hyperlink"/>
            <w:rFonts w:ascii="Calibri" w:hAnsi="Calibri" w:cs="Calibri"/>
          </w:rPr>
          <w:t>SECȚIUNEA 1 – Abrevieri și glosar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_Toc510173684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3</w:t>
        </w:r>
        <w:r w:rsidR="004073D8" w:rsidRPr="00774608">
          <w:rPr>
            <w:rFonts w:ascii="Calibri" w:hAnsi="Calibri" w:cs="Calibri"/>
            <w:webHidden/>
          </w:rPr>
          <w:fldChar w:fldCharType="end"/>
        </w:r>
      </w:hyperlink>
    </w:p>
    <w:p w:rsidR="004073D8" w:rsidRPr="00774608" w:rsidRDefault="00C57FCA">
      <w:pPr>
        <w:pStyle w:val="TOC2"/>
        <w:rPr>
          <w:rFonts w:eastAsia="Times New Roman" w:cs="Calibri"/>
          <w:noProof/>
          <w:lang w:val="ro-RO" w:eastAsia="ro-RO"/>
        </w:rPr>
      </w:pPr>
      <w:hyperlink w:anchor="_Toc510173685" w:history="1">
        <w:r w:rsidR="004073D8" w:rsidRPr="00774608">
          <w:rPr>
            <w:rStyle w:val="Hyperlink"/>
            <w:rFonts w:cs="Calibri"/>
            <w:noProof/>
            <w:lang w:val="ro-RO"/>
          </w:rPr>
          <w:t>ABREVIERI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w:t>
        </w:r>
        <w:r w:rsidR="004073D8" w:rsidRPr="00774608">
          <w:rPr>
            <w:rFonts w:cs="Calibri"/>
            <w:noProof/>
            <w:webHidden/>
            <w:lang w:val="ro-RO"/>
          </w:rPr>
          <w:fldChar w:fldCharType="end"/>
        </w:r>
      </w:hyperlink>
    </w:p>
    <w:p w:rsidR="004073D8" w:rsidRPr="00774608" w:rsidRDefault="00C57FCA">
      <w:pPr>
        <w:pStyle w:val="TOC2"/>
        <w:rPr>
          <w:rFonts w:eastAsia="Times New Roman" w:cs="Calibri"/>
          <w:noProof/>
          <w:lang w:val="ro-RO" w:eastAsia="ro-RO"/>
        </w:rPr>
      </w:pPr>
      <w:hyperlink w:anchor="_Toc510173686" w:history="1">
        <w:r w:rsidR="004073D8" w:rsidRPr="00774608">
          <w:rPr>
            <w:rStyle w:val="Hyperlink"/>
            <w:rFonts w:cs="Calibri"/>
            <w:noProof/>
            <w:lang w:val="ro-RO"/>
          </w:rPr>
          <w:t>GLOSAR</w:t>
        </w:r>
        <w:r w:rsidR="004073D8" w:rsidRPr="00774608">
          <w:rPr>
            <w:rFonts w:cs="Calibri"/>
            <w:noProof/>
            <w:webHidden/>
            <w:lang w:val="ro-RO"/>
          </w:rPr>
          <w:tab/>
        </w:r>
        <w:r w:rsidR="00390A4A"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4</w:t>
        </w:r>
        <w:r w:rsidR="004073D8" w:rsidRPr="00774608">
          <w:rPr>
            <w:rFonts w:cs="Calibri"/>
            <w:noProof/>
            <w:webHidden/>
            <w:lang w:val="ro-RO"/>
          </w:rPr>
          <w:fldChar w:fldCharType="end"/>
        </w:r>
      </w:hyperlink>
    </w:p>
    <w:p w:rsidR="004073D8" w:rsidRPr="00774608" w:rsidRDefault="00C57FCA">
      <w:pPr>
        <w:pStyle w:val="TOC1"/>
        <w:rPr>
          <w:rFonts w:ascii="Calibri" w:eastAsia="Times New Roman" w:hAnsi="Calibri" w:cs="Calibri"/>
          <w:b w:val="0"/>
          <w:lang w:eastAsia="ro-RO"/>
        </w:rPr>
      </w:pPr>
      <w:hyperlink w:anchor="_Toc510173687" w:history="1">
        <w:r w:rsidR="004073D8" w:rsidRPr="00774608">
          <w:rPr>
            <w:rStyle w:val="Hyperlink"/>
            <w:rFonts w:ascii="Calibri" w:hAnsi="Calibri" w:cs="Calibri"/>
          </w:rPr>
          <w:t>SECȚIUNEA 2 – Informații generale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_Toc510173687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5</w:t>
        </w:r>
        <w:r w:rsidR="004073D8" w:rsidRPr="00774608">
          <w:rPr>
            <w:rFonts w:ascii="Calibri" w:hAnsi="Calibri" w:cs="Calibri"/>
            <w:webHidden/>
          </w:rPr>
          <w:fldChar w:fldCharType="end"/>
        </w:r>
      </w:hyperlink>
    </w:p>
    <w:p w:rsidR="004073D8" w:rsidRPr="00774608" w:rsidRDefault="00C57FCA">
      <w:pPr>
        <w:pStyle w:val="TOC2"/>
        <w:rPr>
          <w:rFonts w:eastAsia="Times New Roman" w:cs="Calibri"/>
          <w:noProof/>
          <w:lang w:val="ro-RO" w:eastAsia="ro-RO"/>
        </w:rPr>
      </w:pPr>
      <w:hyperlink w:anchor="_Toc510173688" w:history="1">
        <w:r w:rsidR="004073D8" w:rsidRPr="00774608">
          <w:rPr>
            <w:rStyle w:val="Hyperlink"/>
            <w:rFonts w:cs="Calibri"/>
            <w:noProof/>
            <w:lang w:val="ro-RO"/>
          </w:rPr>
          <w:t>Subsecțiunea 2.1: Introducere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_Toc510173688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5</w:t>
        </w:r>
        <w:r w:rsidR="004073D8" w:rsidRPr="00774608">
          <w:rPr>
            <w:rFonts w:cs="Calibri"/>
            <w:noProof/>
            <w:webHidden/>
            <w:lang w:val="ro-RO"/>
          </w:rPr>
          <w:fldChar w:fldCharType="end"/>
        </w:r>
      </w:hyperlink>
    </w:p>
    <w:p w:rsidR="004073D8" w:rsidRPr="00774608" w:rsidRDefault="00C57FCA">
      <w:pPr>
        <w:pStyle w:val="TOC2"/>
        <w:rPr>
          <w:rFonts w:eastAsia="Times New Roman" w:cs="Calibri"/>
          <w:noProof/>
          <w:lang w:val="ro-RO" w:eastAsia="ro-RO"/>
        </w:rPr>
      </w:pPr>
      <w:hyperlink w:anchor="_Toc510173689" w:history="1">
        <w:r w:rsidR="004073D8" w:rsidRPr="00774608">
          <w:rPr>
            <w:rStyle w:val="Hyperlink"/>
            <w:rFonts w:cs="Calibri"/>
            <w:noProof/>
            <w:lang w:val="ro-RO"/>
          </w:rPr>
          <w:t>Subsecțiunea 2.2: Descrierea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_Toc510173689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5</w:t>
        </w:r>
        <w:r w:rsidR="004073D8" w:rsidRPr="00774608">
          <w:rPr>
            <w:rFonts w:cs="Calibri"/>
            <w:noProof/>
            <w:webHidden/>
            <w:lang w:val="ro-RO"/>
          </w:rPr>
          <w:fldChar w:fldCharType="end"/>
        </w:r>
      </w:hyperlink>
    </w:p>
    <w:p w:rsidR="004073D8" w:rsidRPr="00774608" w:rsidRDefault="00C57FCA">
      <w:pPr>
        <w:pStyle w:val="TOC2"/>
        <w:rPr>
          <w:rFonts w:eastAsia="Times New Roman" w:cs="Calibri"/>
          <w:noProof/>
          <w:lang w:val="ro-RO" w:eastAsia="ro-RO"/>
        </w:rPr>
      </w:pPr>
      <w:hyperlink w:anchor="_Toc510173690" w:history="1">
        <w:r w:rsidR="004073D8" w:rsidRPr="00774608">
          <w:rPr>
            <w:rStyle w:val="Hyperlink"/>
            <w:rFonts w:cs="Calibri"/>
            <w:noProof/>
            <w:lang w:val="ro-RO"/>
          </w:rPr>
          <w:t>Subsecțiunea 2.3: Principalele reglementări europene și naționale precum și alte documente programatice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_Toc510173690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6</w:t>
        </w:r>
        <w:r w:rsidR="004073D8" w:rsidRPr="00774608">
          <w:rPr>
            <w:rFonts w:cs="Calibri"/>
            <w:noProof/>
            <w:webHidden/>
            <w:lang w:val="ro-RO"/>
          </w:rPr>
          <w:fldChar w:fldCharType="end"/>
        </w:r>
      </w:hyperlink>
    </w:p>
    <w:p w:rsidR="004073D8" w:rsidRPr="00774608" w:rsidRDefault="00C57FCA">
      <w:pPr>
        <w:pStyle w:val="TOC1"/>
        <w:rPr>
          <w:rFonts w:ascii="Calibri" w:eastAsia="Times New Roman" w:hAnsi="Calibri" w:cs="Calibri"/>
          <w:b w:val="0"/>
          <w:lang w:eastAsia="ro-RO"/>
        </w:rPr>
      </w:pPr>
      <w:hyperlink w:anchor="_Toc510173691" w:history="1">
        <w:r w:rsidR="004073D8" w:rsidRPr="00774608">
          <w:rPr>
            <w:rStyle w:val="Hyperlink"/>
            <w:rFonts w:ascii="Calibri" w:hAnsi="Calibri" w:cs="Calibri"/>
          </w:rPr>
          <w:t>SECȚIUNEA 3: Condiții specifice pentru cererea de proiecte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_Toc510173691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8</w:t>
        </w:r>
        <w:r w:rsidR="004073D8" w:rsidRPr="00774608">
          <w:rPr>
            <w:rFonts w:ascii="Calibri" w:hAnsi="Calibri" w:cs="Calibri"/>
            <w:webHidden/>
          </w:rPr>
          <w:fldChar w:fldCharType="end"/>
        </w:r>
      </w:hyperlink>
    </w:p>
    <w:p w:rsidR="004073D8" w:rsidRPr="00774608" w:rsidRDefault="00C57FCA">
      <w:pPr>
        <w:pStyle w:val="TOC2"/>
        <w:rPr>
          <w:rFonts w:eastAsia="Times New Roman" w:cs="Calibri"/>
          <w:noProof/>
          <w:lang w:val="ro-RO" w:eastAsia="ro-RO"/>
        </w:rPr>
      </w:pPr>
      <w:hyperlink w:anchor="_Toc510173692" w:history="1">
        <w:r w:rsidR="004073D8" w:rsidRPr="00774608">
          <w:rPr>
            <w:rStyle w:val="Hyperlink"/>
            <w:rFonts w:cs="Calibri"/>
            <w:noProof/>
            <w:lang w:val="ro-RO"/>
          </w:rPr>
          <w:t>Subsecțiunea 3.1: Informații despre cererea de proiecte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_Toc510173692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8</w:t>
        </w:r>
        <w:r w:rsidR="004073D8" w:rsidRPr="00774608">
          <w:rPr>
            <w:rFonts w:cs="Calibri"/>
            <w:noProof/>
            <w:webHidden/>
            <w:lang w:val="ro-RO"/>
          </w:rPr>
          <w:fldChar w:fldCharType="end"/>
        </w:r>
      </w:hyperlink>
    </w:p>
    <w:p w:rsidR="004073D8" w:rsidRPr="00774608" w:rsidRDefault="00C57FCA">
      <w:pPr>
        <w:pStyle w:val="TOC2"/>
        <w:rPr>
          <w:rFonts w:eastAsia="Times New Roman" w:cs="Calibri"/>
          <w:noProof/>
          <w:lang w:val="ro-RO" w:eastAsia="ro-RO"/>
        </w:rPr>
      </w:pPr>
      <w:hyperlink w:anchor="_Toc510173693" w:history="1">
        <w:r w:rsidR="004073D8" w:rsidRPr="00774608">
          <w:rPr>
            <w:rStyle w:val="Hyperlink"/>
            <w:rFonts w:cs="Calibri"/>
            <w:noProof/>
            <w:lang w:val="ro-RO"/>
          </w:rPr>
          <w:t>Subsecțiunea 3.2: Contribuția proiectului la program</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_Toc510173693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rsidR="004073D8" w:rsidRPr="00774608" w:rsidRDefault="00C57FCA">
      <w:pPr>
        <w:pStyle w:val="TOC2"/>
        <w:rPr>
          <w:rFonts w:eastAsia="Times New Roman" w:cs="Calibri"/>
          <w:noProof/>
          <w:lang w:val="ro-RO" w:eastAsia="ro-RO"/>
        </w:rPr>
      </w:pPr>
      <w:hyperlink w:anchor="_Toc510173694" w:history="1">
        <w:r w:rsidR="004073D8" w:rsidRPr="00774608">
          <w:rPr>
            <w:rStyle w:val="Hyperlink"/>
            <w:rFonts w:cs="Calibri"/>
            <w:noProof/>
            <w:lang w:val="ro-RO"/>
          </w:rPr>
          <w:t>Capitolul 3.2.1: Axa prioritară și obiectivul specific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_Toc510173694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rsidR="004073D8" w:rsidRPr="00774608" w:rsidRDefault="00C57FCA">
      <w:pPr>
        <w:pStyle w:val="TOC3"/>
        <w:rPr>
          <w:rFonts w:eastAsia="Times New Roman" w:cs="Calibri"/>
          <w:noProof/>
          <w:lang w:val="ro-RO" w:eastAsia="ro-RO"/>
        </w:rPr>
      </w:pPr>
      <w:hyperlink w:anchor="_Toc510173695" w:history="1">
        <w:r w:rsidR="004073D8" w:rsidRPr="00774608">
          <w:rPr>
            <w:rStyle w:val="Hyperlink"/>
            <w:rFonts w:cs="Calibri"/>
            <w:noProof/>
            <w:lang w:val="ro-RO"/>
          </w:rPr>
          <w:t>Capitolul 3.2.2: Rezultatele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rsidR="004073D8" w:rsidRPr="00774608" w:rsidRDefault="00C57FCA">
      <w:pPr>
        <w:pStyle w:val="TOC3"/>
        <w:rPr>
          <w:rFonts w:eastAsia="Times New Roman" w:cs="Calibri"/>
          <w:noProof/>
          <w:lang w:val="ro-RO" w:eastAsia="ro-RO"/>
        </w:rPr>
      </w:pPr>
      <w:hyperlink w:anchor="_Toc510173696" w:history="1">
        <w:r w:rsidR="004073D8" w:rsidRPr="00774608">
          <w:rPr>
            <w:rStyle w:val="Hyperlink"/>
            <w:rFonts w:cs="Calibri"/>
            <w:noProof/>
            <w:lang w:val="ro-RO"/>
          </w:rPr>
          <w:t>Capitolul 3.2.3: Indicatorii POCA – indicatori prestabiliți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10</w:t>
        </w:r>
        <w:r w:rsidR="004073D8" w:rsidRPr="00774608">
          <w:rPr>
            <w:rFonts w:cs="Calibri"/>
            <w:noProof/>
            <w:webHidden/>
            <w:lang w:val="ro-RO"/>
          </w:rPr>
          <w:fldChar w:fldCharType="end"/>
        </w:r>
      </w:hyperlink>
    </w:p>
    <w:p w:rsidR="004073D8" w:rsidRPr="00774608" w:rsidRDefault="00C57FCA">
      <w:pPr>
        <w:pStyle w:val="TOC3"/>
        <w:rPr>
          <w:rFonts w:eastAsia="Times New Roman" w:cs="Calibri"/>
          <w:noProof/>
          <w:lang w:val="ro-RO" w:eastAsia="ro-RO"/>
        </w:rPr>
      </w:pPr>
      <w:hyperlink w:anchor="_Toc510173697" w:history="1">
        <w:r w:rsidR="004073D8" w:rsidRPr="00774608">
          <w:rPr>
            <w:rStyle w:val="Hyperlink"/>
            <w:rFonts w:cs="Calibri"/>
            <w:noProof/>
            <w:lang w:val="ro-RO"/>
          </w:rPr>
          <w:t>Capitolul 3.2.4: Tipuri de acțiuni orientative, durata proiectului şi aspecte privind informarea şi comunicarea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_Toc510173697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11</w:t>
        </w:r>
        <w:r w:rsidR="004073D8" w:rsidRPr="00774608">
          <w:rPr>
            <w:rFonts w:cs="Calibri"/>
            <w:noProof/>
            <w:webHidden/>
            <w:lang w:val="ro-RO"/>
          </w:rPr>
          <w:fldChar w:fldCharType="end"/>
        </w:r>
      </w:hyperlink>
    </w:p>
    <w:p w:rsidR="004073D8" w:rsidRPr="00774608" w:rsidRDefault="00C57FCA">
      <w:pPr>
        <w:pStyle w:val="TOC2"/>
        <w:rPr>
          <w:rFonts w:eastAsia="Times New Roman" w:cs="Calibri"/>
          <w:noProof/>
          <w:lang w:val="ro-RO" w:eastAsia="ro-RO"/>
        </w:rPr>
      </w:pPr>
      <w:hyperlink w:anchor="_Toc510173698" w:history="1">
        <w:r w:rsidR="004073D8" w:rsidRPr="00774608">
          <w:rPr>
            <w:rStyle w:val="Hyperlink"/>
            <w:rFonts w:cs="Calibri"/>
            <w:noProof/>
            <w:lang w:val="ro-RO"/>
          </w:rPr>
          <w:t>Subsecțiunea 3.3: Eligibilitatea solicitanților și a partenerilor</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_Toc510173698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15</w:t>
        </w:r>
        <w:r w:rsidR="004073D8" w:rsidRPr="00774608">
          <w:rPr>
            <w:rFonts w:cs="Calibri"/>
            <w:noProof/>
            <w:webHidden/>
            <w:lang w:val="ro-RO"/>
          </w:rPr>
          <w:fldChar w:fldCharType="end"/>
        </w:r>
      </w:hyperlink>
    </w:p>
    <w:p w:rsidR="004073D8" w:rsidRPr="00774608" w:rsidRDefault="00C57FCA">
      <w:pPr>
        <w:pStyle w:val="TOC2"/>
        <w:rPr>
          <w:rFonts w:eastAsia="Times New Roman" w:cs="Calibri"/>
          <w:noProof/>
          <w:lang w:val="ro-RO" w:eastAsia="ro-RO"/>
        </w:rPr>
      </w:pPr>
      <w:hyperlink w:anchor="_Toc510173699" w:history="1">
        <w:r w:rsidR="004073D8" w:rsidRPr="00774608">
          <w:rPr>
            <w:rStyle w:val="Hyperlink"/>
            <w:rFonts w:cs="Calibri"/>
            <w:noProof/>
            <w:lang w:val="ro-RO"/>
          </w:rPr>
          <w:t>Subsecțiunea 3.4: Eligibilitatea grupului țintă</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_Toc510173699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17</w:t>
        </w:r>
        <w:r w:rsidR="004073D8" w:rsidRPr="00774608">
          <w:rPr>
            <w:rFonts w:cs="Calibri"/>
            <w:noProof/>
            <w:webHidden/>
            <w:lang w:val="ro-RO"/>
          </w:rPr>
          <w:fldChar w:fldCharType="end"/>
        </w:r>
      </w:hyperlink>
    </w:p>
    <w:p w:rsidR="004073D8" w:rsidRPr="00774608" w:rsidRDefault="00C57FCA">
      <w:pPr>
        <w:pStyle w:val="TOC2"/>
        <w:rPr>
          <w:rFonts w:eastAsia="Times New Roman" w:cs="Calibri"/>
          <w:noProof/>
          <w:lang w:val="ro-RO" w:eastAsia="ro-RO"/>
        </w:rPr>
      </w:pPr>
      <w:hyperlink w:anchor="_Toc510173700" w:history="1">
        <w:r w:rsidR="004073D8" w:rsidRPr="00774608">
          <w:rPr>
            <w:rStyle w:val="Hyperlink"/>
            <w:rFonts w:cs="Calibri"/>
            <w:noProof/>
            <w:lang w:val="ro-RO"/>
          </w:rPr>
          <w:t>Subsecțiunea 3.5: Principii orizontale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_Toc510173700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17</w:t>
        </w:r>
        <w:r w:rsidR="004073D8" w:rsidRPr="00774608">
          <w:rPr>
            <w:rFonts w:cs="Calibri"/>
            <w:noProof/>
            <w:webHidden/>
            <w:lang w:val="ro-RO"/>
          </w:rPr>
          <w:fldChar w:fldCharType="end"/>
        </w:r>
      </w:hyperlink>
    </w:p>
    <w:p w:rsidR="004073D8" w:rsidRPr="00774608" w:rsidRDefault="00C57FCA">
      <w:pPr>
        <w:pStyle w:val="TOC2"/>
        <w:rPr>
          <w:rFonts w:eastAsia="Times New Roman" w:cs="Calibri"/>
          <w:noProof/>
          <w:lang w:val="ro-RO" w:eastAsia="ro-RO"/>
        </w:rPr>
      </w:pPr>
      <w:hyperlink w:anchor="_Toc510173701" w:history="1">
        <w:r w:rsidR="004073D8" w:rsidRPr="00774608">
          <w:rPr>
            <w:rStyle w:val="Hyperlink"/>
            <w:rFonts w:cs="Calibri"/>
            <w:noProof/>
            <w:lang w:val="ro-RO"/>
          </w:rPr>
          <w:t>Subsecțiunea 3.6: Resurse umane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_Toc510173701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18</w:t>
        </w:r>
        <w:r w:rsidR="004073D8" w:rsidRPr="00774608">
          <w:rPr>
            <w:rFonts w:cs="Calibri"/>
            <w:noProof/>
            <w:webHidden/>
            <w:lang w:val="ro-RO"/>
          </w:rPr>
          <w:fldChar w:fldCharType="end"/>
        </w:r>
      </w:hyperlink>
    </w:p>
    <w:p w:rsidR="004073D8" w:rsidRPr="00774608" w:rsidRDefault="00C57FCA">
      <w:pPr>
        <w:pStyle w:val="TOC2"/>
        <w:rPr>
          <w:rFonts w:eastAsia="Times New Roman" w:cs="Calibri"/>
          <w:noProof/>
          <w:lang w:val="ro-RO" w:eastAsia="ro-RO"/>
        </w:rPr>
      </w:pPr>
      <w:hyperlink w:anchor="_Toc510173702" w:history="1">
        <w:r w:rsidR="004073D8" w:rsidRPr="00774608">
          <w:rPr>
            <w:rStyle w:val="Hyperlink"/>
            <w:rFonts w:cs="Calibri"/>
            <w:noProof/>
            <w:lang w:val="ro-RO"/>
          </w:rPr>
          <w:t>Subsecțiunea 3.7: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_Toc510173702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20</w:t>
        </w:r>
        <w:r w:rsidR="004073D8" w:rsidRPr="00774608">
          <w:rPr>
            <w:rFonts w:cs="Calibri"/>
            <w:noProof/>
            <w:webHidden/>
            <w:lang w:val="ro-RO"/>
          </w:rPr>
          <w:fldChar w:fldCharType="end"/>
        </w:r>
      </w:hyperlink>
    </w:p>
    <w:p w:rsidR="004073D8" w:rsidRPr="00774608" w:rsidRDefault="00C57FCA">
      <w:pPr>
        <w:pStyle w:val="TOC1"/>
        <w:rPr>
          <w:rFonts w:ascii="Calibri" w:eastAsia="Times New Roman" w:hAnsi="Calibri" w:cs="Calibri"/>
          <w:b w:val="0"/>
          <w:lang w:eastAsia="ro-RO"/>
        </w:rPr>
      </w:pPr>
      <w:hyperlink w:anchor="_Toc510173703" w:history="1">
        <w:r w:rsidR="004073D8" w:rsidRPr="00774608">
          <w:rPr>
            <w:rStyle w:val="Hyperlink"/>
            <w:rFonts w:ascii="Calibri" w:hAnsi="Calibri" w:cs="Calibri"/>
          </w:rPr>
          <w:t>SECȚIUNEA 4: Pașii necesari accesării finanțării POCA</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_Toc510173703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36</w:t>
        </w:r>
        <w:r w:rsidR="004073D8" w:rsidRPr="00774608">
          <w:rPr>
            <w:rFonts w:ascii="Calibri" w:hAnsi="Calibri" w:cs="Calibri"/>
            <w:webHidden/>
          </w:rPr>
          <w:fldChar w:fldCharType="end"/>
        </w:r>
      </w:hyperlink>
    </w:p>
    <w:p w:rsidR="004073D8" w:rsidRPr="00774608" w:rsidRDefault="00C57FCA">
      <w:pPr>
        <w:pStyle w:val="TOC2"/>
        <w:rPr>
          <w:rFonts w:eastAsia="Times New Roman" w:cs="Calibri"/>
          <w:noProof/>
          <w:lang w:val="ro-RO" w:eastAsia="ro-RO"/>
        </w:rPr>
      </w:pPr>
      <w:hyperlink w:anchor="_Toc510173704" w:history="1">
        <w:r w:rsidR="004073D8" w:rsidRPr="00774608">
          <w:rPr>
            <w:rStyle w:val="Hyperlink"/>
            <w:rFonts w:cs="Calibri"/>
            <w:noProof/>
            <w:lang w:val="ro-RO"/>
          </w:rPr>
          <w:t>Subsecțiunea</w:t>
        </w:r>
        <w:r w:rsidR="004073D8" w:rsidRPr="00774608">
          <w:rPr>
            <w:rStyle w:val="Hyperlink"/>
            <w:rFonts w:eastAsia="Arial" w:cs="Calibri"/>
            <w:noProof/>
            <w:lang w:val="ro-RO"/>
          </w:rPr>
          <w:t xml:space="preserve"> 4.1: Fișa de proiect</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_Toc510173704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36</w:t>
        </w:r>
        <w:r w:rsidR="004073D8" w:rsidRPr="00774608">
          <w:rPr>
            <w:rFonts w:cs="Calibri"/>
            <w:noProof/>
            <w:webHidden/>
            <w:lang w:val="ro-RO"/>
          </w:rPr>
          <w:fldChar w:fldCharType="end"/>
        </w:r>
      </w:hyperlink>
    </w:p>
    <w:p w:rsidR="004073D8" w:rsidRPr="00774608" w:rsidRDefault="00C57FCA">
      <w:pPr>
        <w:pStyle w:val="TOC2"/>
        <w:rPr>
          <w:rFonts w:eastAsia="Times New Roman" w:cs="Calibri"/>
          <w:noProof/>
          <w:lang w:val="ro-RO" w:eastAsia="ro-RO"/>
        </w:rPr>
      </w:pPr>
      <w:hyperlink w:anchor="_Toc510173705" w:history="1">
        <w:r w:rsidR="004073D8" w:rsidRPr="00774608">
          <w:rPr>
            <w:rStyle w:val="Hyperlink"/>
            <w:rFonts w:cs="Calibri"/>
            <w:noProof/>
            <w:lang w:val="ro-RO"/>
          </w:rPr>
          <w:t>Subsecțiunea 4.2: Cererea de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37</w:t>
        </w:r>
        <w:r w:rsidR="004073D8" w:rsidRPr="00774608">
          <w:rPr>
            <w:rFonts w:cs="Calibri"/>
            <w:noProof/>
            <w:webHidden/>
            <w:lang w:val="ro-RO"/>
          </w:rPr>
          <w:fldChar w:fldCharType="end"/>
        </w:r>
      </w:hyperlink>
    </w:p>
    <w:p w:rsidR="004073D8" w:rsidRPr="00774608" w:rsidRDefault="00C57FCA">
      <w:pPr>
        <w:pStyle w:val="TOC2"/>
        <w:rPr>
          <w:rFonts w:eastAsia="Times New Roman" w:cs="Calibri"/>
          <w:noProof/>
          <w:lang w:val="ro-RO" w:eastAsia="ro-RO"/>
        </w:rPr>
      </w:pPr>
      <w:hyperlink w:anchor="_Toc510173706" w:history="1">
        <w:r w:rsidR="004073D8" w:rsidRPr="00774608">
          <w:rPr>
            <w:rStyle w:val="Hyperlink"/>
            <w:rFonts w:cs="Calibri"/>
            <w:noProof/>
            <w:lang w:val="ro-RO"/>
          </w:rPr>
          <w:t>Subsecțiunea 4.3: Contractarea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40</w:t>
        </w:r>
        <w:r w:rsidR="004073D8" w:rsidRPr="00774608">
          <w:rPr>
            <w:rFonts w:cs="Calibri"/>
            <w:noProof/>
            <w:webHidden/>
            <w:lang w:val="ro-RO"/>
          </w:rPr>
          <w:fldChar w:fldCharType="end"/>
        </w:r>
      </w:hyperlink>
    </w:p>
    <w:p w:rsidR="004073D8" w:rsidRPr="00774608" w:rsidRDefault="00C57FCA">
      <w:pPr>
        <w:pStyle w:val="TOC1"/>
        <w:rPr>
          <w:rFonts w:ascii="Calibri" w:eastAsia="Times New Roman" w:hAnsi="Calibri" w:cs="Calibri"/>
          <w:b w:val="0"/>
          <w:lang w:eastAsia="ro-RO"/>
        </w:rPr>
      </w:pPr>
      <w:hyperlink w:anchor="_Toc510173707" w:history="1">
        <w:r w:rsidR="004073D8" w:rsidRPr="00774608">
          <w:rPr>
            <w:rStyle w:val="Hyperlink"/>
            <w:rFonts w:ascii="Calibri" w:hAnsi="Calibri" w:cs="Calibri"/>
          </w:rPr>
          <w:t>SECȚIUNEA 5: Lista documentelor ce însoțesc cererea de finanțare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_Toc510173707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42</w:t>
        </w:r>
        <w:r w:rsidR="004073D8" w:rsidRPr="00774608">
          <w:rPr>
            <w:rFonts w:ascii="Calibri" w:hAnsi="Calibri" w:cs="Calibri"/>
            <w:webHidden/>
          </w:rPr>
          <w:fldChar w:fldCharType="end"/>
        </w:r>
      </w:hyperlink>
    </w:p>
    <w:p w:rsidR="004073D8" w:rsidRPr="00774608" w:rsidRDefault="00C57FCA">
      <w:pPr>
        <w:pStyle w:val="TOC1"/>
        <w:rPr>
          <w:rFonts w:ascii="Calibri" w:eastAsia="Times New Roman" w:hAnsi="Calibri" w:cs="Calibri"/>
          <w:b w:val="0"/>
          <w:lang w:eastAsia="ro-RO"/>
        </w:rPr>
      </w:pPr>
      <w:hyperlink w:anchor="_Toc510173708" w:history="1">
        <w:r w:rsidR="004073D8" w:rsidRPr="00774608">
          <w:rPr>
            <w:rStyle w:val="Hyperlink"/>
            <w:rFonts w:ascii="Calibri" w:hAnsi="Calibri" w:cs="Calibri"/>
          </w:rPr>
          <w:t>SECȚIUNEA 6: Lista anexelor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_Toc510173708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43</w:t>
        </w:r>
        <w:r w:rsidR="004073D8" w:rsidRPr="00774608">
          <w:rPr>
            <w:rFonts w:ascii="Calibri" w:hAnsi="Calibri" w:cs="Calibri"/>
            <w:webHidden/>
          </w:rPr>
          <w:fldChar w:fldCharType="end"/>
        </w:r>
      </w:hyperlink>
    </w:p>
    <w:p w:rsidR="003A7C81" w:rsidRPr="00774608" w:rsidRDefault="00DA4126" w:rsidP="00911A19">
      <w:pPr>
        <w:pStyle w:val="TOC1"/>
        <w:spacing w:after="120" w:line="240" w:lineRule="auto"/>
        <w:jc w:val="both"/>
        <w:rPr>
          <w:rFonts w:ascii="Calibri" w:hAnsi="Calibri" w:cs="Calibri"/>
          <w:noProof w:val="0"/>
        </w:rPr>
        <w:sectPr w:rsidR="003A7C81" w:rsidRPr="00774608" w:rsidSect="004073D8">
          <w:headerReference w:type="first" r:id="rId12"/>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rsidR="003A7C81" w:rsidRPr="00774608" w:rsidRDefault="003A7C81"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815A1C" w:rsidRPr="00774608" w:rsidRDefault="00392640" w:rsidP="00A17F94">
      <w:pPr>
        <w:pStyle w:val="Heading1"/>
        <w:spacing w:after="120"/>
        <w:jc w:val="center"/>
        <w:rPr>
          <w:rFonts w:cs="Calibri"/>
          <w:sz w:val="22"/>
          <w:szCs w:val="22"/>
          <w:lang w:val="ro-RO"/>
        </w:rPr>
      </w:pPr>
      <w:bookmarkStart w:id="1" w:name="_Toc510173684"/>
      <w:r w:rsidRPr="00774608">
        <w:rPr>
          <w:rFonts w:cs="Calibri"/>
          <w:sz w:val="22"/>
          <w:szCs w:val="22"/>
          <w:lang w:val="ro-RO"/>
        </w:rPr>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1"/>
    </w:p>
    <w:p w:rsidR="0063509A" w:rsidRPr="00774608" w:rsidRDefault="0063509A" w:rsidP="00A17F94">
      <w:pPr>
        <w:pStyle w:val="Heading1"/>
        <w:spacing w:after="120"/>
        <w:jc w:val="both"/>
        <w:rPr>
          <w:rFonts w:cs="Calibri"/>
          <w:sz w:val="22"/>
          <w:szCs w:val="22"/>
          <w:lang w:val="ro-RO"/>
        </w:rPr>
      </w:pPr>
    </w:p>
    <w:p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510173685"/>
      <w:r w:rsidRPr="00774608">
        <w:rPr>
          <w:rFonts w:ascii="Calibri" w:hAnsi="Calibri" w:cs="Calibri"/>
          <w:color w:val="000000"/>
          <w:sz w:val="22"/>
          <w:szCs w:val="22"/>
          <w:lang w:val="ro-RO"/>
        </w:rPr>
        <w:t>ABREVIERI</w:t>
      </w:r>
      <w:bookmarkEnd w:id="2"/>
      <w:bookmarkEnd w:id="3"/>
    </w:p>
    <w:p w:rsidR="00392640" w:rsidRPr="00774608"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74608"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rsidTr="00425B1B">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BBB" w:rsidRPr="00774608" w:rsidRDefault="00B35BBB" w:rsidP="0091510D">
            <w:pPr>
              <w:spacing w:after="0"/>
              <w:rPr>
                <w:rFonts w:cs="Calibri"/>
                <w:lang w:val="ro-RO"/>
              </w:rPr>
            </w:pPr>
            <w:r w:rsidRPr="00774608">
              <w:rPr>
                <w:rFonts w:cs="Calibri"/>
                <w:lang w:val="ro-RO"/>
              </w:rPr>
              <w:t>BSC</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rsidR="00B35BBB" w:rsidRPr="00774608" w:rsidRDefault="00B35BBB" w:rsidP="0091510D">
            <w:pPr>
              <w:spacing w:after="0"/>
              <w:rPr>
                <w:rFonts w:cs="Calibri"/>
                <w:lang w:val="ro-RO"/>
              </w:rPr>
            </w:pPr>
            <w:r w:rsidRPr="00774608">
              <w:rPr>
                <w:rFonts w:cs="Calibri"/>
                <w:lang w:val="ro-RO"/>
              </w:rPr>
              <w:t xml:space="preserve"> </w:t>
            </w:r>
            <w:proofErr w:type="spellStart"/>
            <w:r w:rsidRPr="00774608">
              <w:rPr>
                <w:rFonts w:cs="Calibri"/>
                <w:lang w:val="ro-RO"/>
              </w:rPr>
              <w:t>Balanced</w:t>
            </w:r>
            <w:proofErr w:type="spellEnd"/>
            <w:r w:rsidRPr="00774608">
              <w:rPr>
                <w:rFonts w:cs="Calibri"/>
                <w:lang w:val="ro-RO"/>
              </w:rPr>
              <w:t xml:space="preserve"> </w:t>
            </w:r>
            <w:proofErr w:type="spellStart"/>
            <w:r w:rsidRPr="00774608">
              <w:rPr>
                <w:rFonts w:cs="Calibri"/>
                <w:lang w:val="ro-RO"/>
              </w:rPr>
              <w:t>Scorecard</w:t>
            </w:r>
            <w:proofErr w:type="spellEnd"/>
            <w:r w:rsidRPr="00774608">
              <w:rPr>
                <w:rFonts w:cs="Calibri"/>
                <w:lang w:val="ro-RO"/>
              </w:rPr>
              <w:t xml:space="preserve"> – sistem de management al performanței</w:t>
            </w:r>
          </w:p>
        </w:tc>
      </w:tr>
      <w:tr w:rsidR="00B35BBB" w:rsidRPr="00774608" w:rsidTr="0091510D">
        <w:trPr>
          <w:trHeight w:val="63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5BBB" w:rsidRPr="00774608" w:rsidRDefault="00B35BBB" w:rsidP="0091510D">
            <w:pPr>
              <w:spacing w:after="0"/>
              <w:rPr>
                <w:rFonts w:cs="Calibri"/>
                <w:lang w:val="ro-RO"/>
              </w:rPr>
            </w:pPr>
            <w:r w:rsidRPr="00774608">
              <w:rPr>
                <w:rFonts w:cs="Calibri"/>
                <w:lang w:val="ro-RO"/>
              </w:rPr>
              <w:t>CAF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B35BBB" w:rsidRPr="00774608" w:rsidRDefault="00B35BBB" w:rsidP="0091510D">
            <w:pPr>
              <w:spacing w:after="0"/>
              <w:rPr>
                <w:rFonts w:cs="Calibri"/>
                <w:lang w:val="ro-RO"/>
              </w:rPr>
            </w:pPr>
            <w:r w:rsidRPr="00774608">
              <w:rPr>
                <w:rFonts w:cs="Calibri"/>
                <w:lang w:val="ro-RO"/>
              </w:rPr>
              <w:t xml:space="preserve">Cadrul comun de autoevaluare a modului de funcționare a instituțiilor publice (în limba engleză: Common </w:t>
            </w:r>
            <w:proofErr w:type="spellStart"/>
            <w:r w:rsidRPr="00774608">
              <w:rPr>
                <w:rFonts w:cs="Calibri"/>
                <w:lang w:val="ro-RO"/>
              </w:rPr>
              <w:t>Assessment</w:t>
            </w:r>
            <w:proofErr w:type="spellEnd"/>
            <w:r w:rsidRPr="00774608">
              <w:rPr>
                <w:rFonts w:cs="Calibri"/>
                <w:lang w:val="ro-RO"/>
              </w:rPr>
              <w:t xml:space="preserve"> Framework)</w:t>
            </w:r>
          </w:p>
        </w:tc>
      </w:tr>
      <w:tr w:rsidR="00B35BBB"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ISO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Standard internațional de management al calității </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rsidTr="00467146">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Sistemul informatic al POCA</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Taxa pe valoarea adăugată</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4" w:name="_Toc510173686"/>
      <w:bookmarkStart w:id="5" w:name="_Toc445908172"/>
      <w:r w:rsidRPr="00774608">
        <w:rPr>
          <w:rFonts w:ascii="Calibri" w:hAnsi="Calibri" w:cs="Calibri"/>
          <w:color w:val="000000"/>
          <w:sz w:val="22"/>
          <w:szCs w:val="22"/>
          <w:lang w:val="ro-RO"/>
        </w:rPr>
        <w:lastRenderedPageBreak/>
        <w:t>GLOSAR</w:t>
      </w:r>
      <w:bookmarkEnd w:id="4"/>
      <w:r w:rsidRPr="00774608">
        <w:rPr>
          <w:rFonts w:ascii="Calibri" w:hAnsi="Calibri" w:cs="Calibri"/>
          <w:color w:val="000000"/>
          <w:sz w:val="22"/>
          <w:szCs w:val="22"/>
          <w:lang w:val="ro-RO"/>
        </w:rPr>
        <w:t xml:space="preserve"> </w:t>
      </w:r>
      <w:bookmarkEnd w:id="5"/>
    </w:p>
    <w:p w:rsidR="00392640" w:rsidRPr="00774608" w:rsidRDefault="00392640" w:rsidP="00A17F94">
      <w:pPr>
        <w:spacing w:after="120" w:line="240" w:lineRule="auto"/>
        <w:rPr>
          <w:rFonts w:cs="Calibri"/>
          <w:lang w:val="ro-RO"/>
        </w:rPr>
      </w:pPr>
    </w:p>
    <w:p w:rsidR="005D3246" w:rsidRPr="00774608" w:rsidRDefault="00392640" w:rsidP="00881CF2">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6"/>
      <w:bookmarkEnd w:id="7"/>
      <w:bookmarkEnd w:id="8"/>
      <w:bookmarkEnd w:id="9"/>
    </w:p>
    <w:p w:rsidR="005D3246" w:rsidRPr="00774608" w:rsidRDefault="00392640" w:rsidP="00881CF2">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1"/>
      <w:bookmarkEnd w:id="12"/>
      <w:bookmarkEnd w:id="13"/>
      <w:bookmarkEnd w:id="14"/>
    </w:p>
    <w:p w:rsidR="005D3246" w:rsidRPr="00774608" w:rsidRDefault="00392640" w:rsidP="00881CF2">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5"/>
      <w:bookmarkEnd w:id="16"/>
      <w:bookmarkEnd w:id="17"/>
      <w:bookmarkEnd w:id="18"/>
    </w:p>
    <w:p w:rsidR="005D3246" w:rsidRPr="00774608" w:rsidRDefault="00392640" w:rsidP="00881CF2">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rsidR="005D3246" w:rsidRPr="00774608" w:rsidRDefault="00392640" w:rsidP="00881CF2">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3"/>
      <w:bookmarkEnd w:id="24"/>
      <w:bookmarkEnd w:id="25"/>
      <w:bookmarkEnd w:id="26"/>
    </w:p>
    <w:p w:rsidR="005D3246" w:rsidRPr="00774608" w:rsidRDefault="00392640" w:rsidP="00881CF2">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7"/>
      <w:bookmarkEnd w:id="28"/>
      <w:bookmarkEnd w:id="29"/>
      <w:bookmarkEnd w:id="30"/>
    </w:p>
    <w:p w:rsidR="005D3246" w:rsidRPr="00774608" w:rsidRDefault="00392640" w:rsidP="00881CF2">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1"/>
      <w:bookmarkEnd w:id="32"/>
      <w:bookmarkEnd w:id="33"/>
      <w:bookmarkEnd w:id="34"/>
    </w:p>
    <w:p w:rsidR="005D3246" w:rsidRPr="00774608" w:rsidRDefault="00392640" w:rsidP="00881CF2">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5"/>
      <w:bookmarkEnd w:id="36"/>
      <w:bookmarkEnd w:id="37"/>
      <w:bookmarkEnd w:id="38"/>
    </w:p>
    <w:p w:rsidR="00BB0B0F" w:rsidRPr="00774608" w:rsidRDefault="00BB0B0F" w:rsidP="00881CF2">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rsidR="005D3246" w:rsidRPr="00774608" w:rsidRDefault="00392640" w:rsidP="00881CF2">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39"/>
      <w:bookmarkEnd w:id="40"/>
      <w:bookmarkEnd w:id="41"/>
      <w:bookmarkEnd w:id="42"/>
    </w:p>
    <w:p w:rsidR="00D10D45" w:rsidRPr="00774608" w:rsidRDefault="000A59D5" w:rsidP="00881CF2">
      <w:pPr>
        <w:spacing w:after="120" w:line="240" w:lineRule="auto"/>
        <w:jc w:val="both"/>
        <w:rPr>
          <w:rFonts w:cs="Calibri"/>
          <w:lang w:val="ro-RO"/>
        </w:rPr>
      </w:pPr>
      <w:bookmarkStart w:id="43" w:name="_Toc448998830"/>
      <w:bookmarkStart w:id="44" w:name="_Toc450555418"/>
      <w:bookmarkStart w:id="45" w:name="_Toc450555495"/>
      <w:bookmarkStart w:id="46"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rsidR="00134895" w:rsidRPr="00774608" w:rsidRDefault="00134895" w:rsidP="00881CF2">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rsidR="003A7C81" w:rsidRPr="00774608" w:rsidRDefault="003A7C81" w:rsidP="00A17F94">
      <w:pPr>
        <w:spacing w:after="120" w:line="240" w:lineRule="auto"/>
        <w:jc w:val="both"/>
        <w:rPr>
          <w:rFonts w:cs="Calibri"/>
          <w:lang w:val="ro-RO"/>
        </w:rPr>
        <w:sectPr w:rsidR="003A7C81" w:rsidRPr="00774608" w:rsidSect="007D19CC">
          <w:type w:val="continuous"/>
          <w:pgSz w:w="11906" w:h="16838" w:code="9"/>
          <w:pgMar w:top="1276" w:right="900" w:bottom="993" w:left="1701" w:header="720" w:footer="720" w:gutter="0"/>
          <w:cols w:space="720"/>
          <w:docGrid w:linePitch="360"/>
        </w:sectPr>
      </w:pPr>
    </w:p>
    <w:p w:rsidR="00F32286" w:rsidRPr="00774608" w:rsidRDefault="00F32286" w:rsidP="00A17F94">
      <w:pPr>
        <w:pStyle w:val="Heading1"/>
        <w:spacing w:after="120"/>
        <w:ind w:left="0"/>
        <w:jc w:val="center"/>
        <w:rPr>
          <w:rFonts w:cs="Calibri"/>
          <w:sz w:val="22"/>
          <w:szCs w:val="22"/>
          <w:lang w:val="ro-RO"/>
        </w:rPr>
      </w:pPr>
      <w:bookmarkStart w:id="47" w:name="_Toc489006344"/>
      <w:bookmarkStart w:id="48" w:name="_Toc510173687"/>
      <w:bookmarkEnd w:id="10"/>
      <w:bookmarkEnd w:id="43"/>
      <w:bookmarkEnd w:id="44"/>
      <w:bookmarkEnd w:id="45"/>
      <w:bookmarkEnd w:id="46"/>
      <w:r w:rsidRPr="00774608">
        <w:rPr>
          <w:rFonts w:cs="Calibri"/>
          <w:sz w:val="22"/>
          <w:szCs w:val="22"/>
          <w:lang w:val="ro-RO"/>
        </w:rPr>
        <w:lastRenderedPageBreak/>
        <w:t>SECȚIUNEA 2 – Informații generale</w:t>
      </w:r>
      <w:bookmarkEnd w:id="47"/>
      <w:bookmarkEnd w:id="48"/>
    </w:p>
    <w:p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49" w:name="_Toc489006345"/>
      <w:bookmarkStart w:id="50" w:name="_Toc510173688"/>
      <w:r w:rsidRPr="00774608">
        <w:rPr>
          <w:rFonts w:ascii="Calibri" w:hAnsi="Calibri" w:cs="Calibri"/>
          <w:color w:val="auto"/>
          <w:sz w:val="22"/>
          <w:szCs w:val="22"/>
          <w:lang w:val="ro-RO"/>
        </w:rPr>
        <w:t>Subsecțiunea 2.1: Introducere</w:t>
      </w:r>
      <w:bookmarkEnd w:id="49"/>
      <w:bookmarkEnd w:id="50"/>
    </w:p>
    <w:p w:rsidR="0019255E" w:rsidRPr="00774608" w:rsidRDefault="006A0729" w:rsidP="00A17F94">
      <w:pPr>
        <w:spacing w:after="120" w:line="240" w:lineRule="auto"/>
        <w:jc w:val="both"/>
        <w:rPr>
          <w:rFonts w:cs="Calibri"/>
          <w:b/>
          <w:bCs/>
          <w:i/>
          <w:lang w:val="ro-RO"/>
        </w:rPr>
      </w:pPr>
      <w:r w:rsidRPr="00774608">
        <w:rPr>
          <w:rFonts w:cs="Calibri"/>
          <w:lang w:val="ro-RO"/>
        </w:rPr>
        <w:t xml:space="preserve">Acest ghid reprezintă un îndrumar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 xml:space="preserve">.1. </w:t>
      </w:r>
      <w:r w:rsidR="002E53B6" w:rsidRPr="00774608">
        <w:rPr>
          <w:rFonts w:cs="Calibri"/>
          <w:i/>
          <w:lang w:val="ro-RO"/>
        </w:rPr>
        <w:t>Dezvoltarea și introducerea de sisteme și standarde comune în administrația publică ce optimizează procesele decizionale orientate către cetățeni și mediul de afaceri, în concordanță cu SCAP</w:t>
      </w:r>
      <w:r w:rsidR="0019255E" w:rsidRPr="00774608">
        <w:rPr>
          <w:rFonts w:cs="Calibri"/>
          <w:bCs/>
          <w:i/>
          <w:lang w:val="ro-RO"/>
        </w:rPr>
        <w:t>.</w:t>
      </w:r>
    </w:p>
    <w:p w:rsidR="006A0729" w:rsidRPr="00774608" w:rsidRDefault="006A0729" w:rsidP="00A17F94">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rsidR="006A0729" w:rsidRPr="00774608" w:rsidRDefault="006A0729" w:rsidP="00A17F94">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rsidR="006A0729" w:rsidRPr="00774608" w:rsidRDefault="006A0729" w:rsidP="00A17F94">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rsidR="00DC0507" w:rsidRPr="00774608" w:rsidRDefault="00DC0507" w:rsidP="00A17F94">
      <w:pPr>
        <w:pStyle w:val="Heading2"/>
        <w:spacing w:before="0" w:after="120" w:line="240" w:lineRule="auto"/>
        <w:jc w:val="both"/>
        <w:rPr>
          <w:rFonts w:ascii="Calibri" w:hAnsi="Calibri" w:cs="Calibri"/>
          <w:color w:val="auto"/>
          <w:sz w:val="22"/>
          <w:szCs w:val="22"/>
          <w:lang w:val="ro-RO"/>
        </w:rPr>
      </w:pPr>
      <w:bookmarkStart w:id="51" w:name="_Toc489006346"/>
    </w:p>
    <w:p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2" w:name="_Toc510173689"/>
      <w:r w:rsidRPr="00774608">
        <w:rPr>
          <w:rFonts w:ascii="Calibri" w:hAnsi="Calibri" w:cs="Calibri"/>
          <w:color w:val="auto"/>
          <w:sz w:val="22"/>
          <w:szCs w:val="22"/>
          <w:lang w:val="ro-RO"/>
        </w:rPr>
        <w:t>Subsecțiunea 2.2: Descrierea POCA</w:t>
      </w:r>
      <w:bookmarkEnd w:id="51"/>
      <w:bookmarkEnd w:id="52"/>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rsidR="00E74FB3" w:rsidRPr="00774608" w:rsidRDefault="00E74FB3" w:rsidP="00A17F94">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AB0FDB" w:rsidRPr="00774608" w:rsidRDefault="00AB0FDB" w:rsidP="00A17F94">
      <w:pPr>
        <w:spacing w:after="120" w:line="240" w:lineRule="auto"/>
        <w:rPr>
          <w:rFonts w:cs="Calibri"/>
          <w:lang w:val="ro-RO"/>
        </w:rPr>
      </w:pPr>
    </w:p>
    <w:p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3" w:name="_Toc489006347"/>
      <w:bookmarkStart w:id="54" w:name="_Toc510173690"/>
      <w:r w:rsidRPr="00774608">
        <w:rPr>
          <w:rFonts w:ascii="Calibri" w:hAnsi="Calibri" w:cs="Calibri"/>
          <w:color w:val="auto"/>
          <w:sz w:val="22"/>
          <w:szCs w:val="22"/>
          <w:lang w:val="ro-RO"/>
        </w:rPr>
        <w:t>Subsecțiunea 2.3: Principalele reglementări europene și naționale precum și alte documente programatice</w:t>
      </w:r>
      <w:bookmarkEnd w:id="53"/>
      <w:bookmarkEnd w:id="54"/>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rsidR="000F639B" w:rsidRPr="00774608" w:rsidRDefault="000F639B" w:rsidP="00A17F94">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w:t>
      </w:r>
      <w:r w:rsidRPr="00774608">
        <w:rPr>
          <w:rFonts w:eastAsia="Times New Roman" w:cs="Calibri"/>
          <w:color w:val="000000"/>
          <w:lang w:val="ro-RO"/>
        </w:rPr>
        <w:lastRenderedPageBreak/>
        <w:t xml:space="preserve">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rsidR="009C5AF7"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p>
    <w:p w:rsidR="000F639B"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rsidR="006065D1" w:rsidRPr="00774608" w:rsidRDefault="00527A58"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rsidR="00911A19" w:rsidRPr="00774608" w:rsidRDefault="00911A19" w:rsidP="00A17F94">
      <w:pPr>
        <w:pStyle w:val="Heading1"/>
        <w:spacing w:after="120"/>
        <w:jc w:val="center"/>
        <w:rPr>
          <w:rFonts w:cs="Calibri"/>
          <w:sz w:val="22"/>
          <w:szCs w:val="22"/>
          <w:lang w:val="ro-RO"/>
        </w:rPr>
        <w:sectPr w:rsidR="00911A19" w:rsidRPr="00774608" w:rsidSect="00470D8D">
          <w:pgSz w:w="11906" w:h="16838" w:code="9"/>
          <w:pgMar w:top="1134" w:right="851" w:bottom="992" w:left="1701" w:header="720" w:footer="720" w:gutter="0"/>
          <w:cols w:space="720"/>
          <w:docGrid w:linePitch="360"/>
        </w:sectPr>
      </w:pPr>
      <w:bookmarkStart w:id="55" w:name="_Toc489006348"/>
    </w:p>
    <w:p w:rsidR="00F32286" w:rsidRPr="00774608" w:rsidRDefault="00F32286" w:rsidP="00A17F94">
      <w:pPr>
        <w:pStyle w:val="Heading1"/>
        <w:spacing w:after="120"/>
        <w:jc w:val="center"/>
        <w:rPr>
          <w:rFonts w:cs="Calibri"/>
          <w:sz w:val="22"/>
          <w:szCs w:val="22"/>
          <w:lang w:val="ro-RO"/>
        </w:rPr>
      </w:pPr>
      <w:bookmarkStart w:id="56" w:name="_Toc510173691"/>
      <w:r w:rsidRPr="00774608">
        <w:rPr>
          <w:rFonts w:cs="Calibri"/>
          <w:sz w:val="22"/>
          <w:szCs w:val="22"/>
          <w:lang w:val="ro-RO"/>
        </w:rPr>
        <w:lastRenderedPageBreak/>
        <w:t>SECȚIUNEA 3: Condiții specifice pentru cererea de proiecte</w:t>
      </w:r>
      <w:bookmarkEnd w:id="55"/>
      <w:bookmarkEnd w:id="56"/>
    </w:p>
    <w:p w:rsidR="006065D1" w:rsidRPr="00774608" w:rsidRDefault="006065D1" w:rsidP="00A17F94">
      <w:pPr>
        <w:pStyle w:val="Heading1"/>
        <w:spacing w:after="120"/>
        <w:jc w:val="both"/>
        <w:rPr>
          <w:rFonts w:cs="Calibri"/>
          <w:color w:val="000000"/>
          <w:sz w:val="22"/>
          <w:szCs w:val="22"/>
          <w:lang w:val="ro-RO"/>
        </w:rPr>
      </w:pPr>
    </w:p>
    <w:p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7" w:name="_Toc489006349"/>
      <w:bookmarkStart w:id="58" w:name="_Toc510173692"/>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7"/>
      <w:bookmarkEnd w:id="58"/>
    </w:p>
    <w:p w:rsidR="008D3007" w:rsidRPr="00774608" w:rsidRDefault="004049D3" w:rsidP="003B74CD">
      <w:pPr>
        <w:spacing w:after="120" w:line="240" w:lineRule="auto"/>
        <w:jc w:val="both"/>
        <w:rPr>
          <w:rFonts w:cs="Calibri"/>
          <w:bCs/>
          <w:lang w:val="ro-RO"/>
        </w:rPr>
      </w:pPr>
      <w:r w:rsidRPr="00774608">
        <w:rPr>
          <w:rFonts w:cs="Calibri"/>
          <w:bCs/>
          <w:lang w:val="ro-RO"/>
        </w:rPr>
        <w:t>S</w:t>
      </w:r>
      <w:r w:rsidR="00BD4D7C" w:rsidRPr="00774608">
        <w:rPr>
          <w:rFonts w:cs="Calibri"/>
          <w:bCs/>
          <w:lang w:val="ro-RO"/>
        </w:rPr>
        <w:t xml:space="preserve">copul acestui apel este de a </w:t>
      </w:r>
      <w:r w:rsidR="003B74CD" w:rsidRPr="00774608">
        <w:rPr>
          <w:rFonts w:cs="Calibri"/>
          <w:bCs/>
          <w:lang w:val="ro-RO"/>
        </w:rPr>
        <w:t>sprijini auto</w:t>
      </w:r>
      <w:bookmarkStart w:id="59" w:name="_GoBack"/>
      <w:bookmarkEnd w:id="59"/>
      <w:r w:rsidR="003B74CD" w:rsidRPr="00774608">
        <w:rPr>
          <w:rFonts w:cs="Calibri"/>
          <w:bCs/>
          <w:lang w:val="ro-RO"/>
        </w:rPr>
        <w:t>rități</w:t>
      </w:r>
      <w:r w:rsidR="00AF685E" w:rsidRPr="00774608">
        <w:rPr>
          <w:rFonts w:cs="Calibri"/>
          <w:bCs/>
          <w:lang w:val="ro-RO"/>
        </w:rPr>
        <w:t>le</w:t>
      </w:r>
      <w:r w:rsidR="003B74CD" w:rsidRPr="00774608">
        <w:rPr>
          <w:rFonts w:cs="Calibri"/>
          <w:bCs/>
          <w:lang w:val="ro-RO"/>
        </w:rPr>
        <w:t xml:space="preserve"> și instituții</w:t>
      </w:r>
      <w:r w:rsidR="00AF685E" w:rsidRPr="00774608">
        <w:rPr>
          <w:rFonts w:cs="Calibri"/>
          <w:bCs/>
          <w:lang w:val="ro-RO"/>
        </w:rPr>
        <w:t>le</w:t>
      </w:r>
      <w:r w:rsidR="003B74CD" w:rsidRPr="00774608">
        <w:rPr>
          <w:rFonts w:cs="Calibri"/>
          <w:bCs/>
          <w:lang w:val="ro-RO"/>
        </w:rPr>
        <w:t xml:space="preserve"> publice centrale pentru implementarea </w:t>
      </w:r>
      <w:r w:rsidR="00274485" w:rsidRPr="00774608">
        <w:rPr>
          <w:rFonts w:cs="Calibri"/>
          <w:bCs/>
          <w:lang w:val="ro-RO"/>
        </w:rPr>
        <w:t>de acțiuni care conduc la o planificare strategică eficientă</w:t>
      </w:r>
      <w:r w:rsidR="00EF52BC" w:rsidRPr="00774608">
        <w:rPr>
          <w:rFonts w:cs="Calibri"/>
          <w:bCs/>
          <w:lang w:val="ro-RO"/>
        </w:rPr>
        <w:t xml:space="preserve">, implementarea unitară a managementului calității și performanței, </w:t>
      </w:r>
      <w:r w:rsidR="004F60F0" w:rsidRPr="00774608">
        <w:rPr>
          <w:rFonts w:cs="Calibri"/>
          <w:bCs/>
          <w:lang w:val="ro-RO"/>
        </w:rPr>
        <w:t>implementarea unor măsuri de simplificare pentru cetățeni, de sistematizare și simplificare a fondului activ al legislației, de reducere a poverii administrative pentru mediul de afaceri, de creare a cadrului pentru dezvoltarea la nivel local, de elaborare de politici publice bazate pe dovezi</w:t>
      </w:r>
      <w:r w:rsidR="004F60F0" w:rsidRPr="00774608">
        <w:rPr>
          <w:rStyle w:val="FootnoteReference"/>
          <w:rFonts w:cs="Calibri"/>
          <w:iCs/>
          <w:lang w:val="ro-RO" w:eastAsia="ro-RO"/>
        </w:rPr>
        <w:footnoteReference w:id="1"/>
      </w:r>
      <w:r w:rsidR="004F60F0" w:rsidRPr="00774608">
        <w:rPr>
          <w:rFonts w:cs="Calibri"/>
          <w:bCs/>
          <w:lang w:val="ro-RO"/>
        </w:rPr>
        <w:t xml:space="preserve">. </w:t>
      </w:r>
    </w:p>
    <w:p w:rsidR="004F60F0" w:rsidRPr="00774608" w:rsidRDefault="004F60F0" w:rsidP="004F60F0">
      <w:pPr>
        <w:spacing w:after="120" w:line="240" w:lineRule="auto"/>
        <w:jc w:val="both"/>
        <w:rPr>
          <w:rFonts w:cs="Calibri"/>
          <w:bCs/>
          <w:lang w:val="ro-RO"/>
        </w:rPr>
      </w:pPr>
      <w:r w:rsidRPr="00774608">
        <w:rPr>
          <w:rFonts w:cs="Calibri"/>
          <w:bCs/>
          <w:lang w:val="ro-RO"/>
        </w:rPr>
        <w:t>Măsurile cuprinse în proiectele depuse în cadrul acestui apel trebuie să fie în concordanță cu  măsurile stabilite în documentele strategice ce vizează domeniile enunțate mai sus:</w:t>
      </w:r>
    </w:p>
    <w:p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rsidR="004F60F0" w:rsidRPr="00774608" w:rsidRDefault="004F60F0" w:rsidP="00E00D6C">
      <w:pPr>
        <w:numPr>
          <w:ilvl w:val="0"/>
          <w:numId w:val="16"/>
        </w:numPr>
        <w:spacing w:after="120" w:line="240" w:lineRule="auto"/>
        <w:jc w:val="both"/>
        <w:rPr>
          <w:rFonts w:cs="Calibri"/>
          <w:iCs/>
          <w:lang w:val="ro-RO" w:eastAsia="ro-RO"/>
        </w:rPr>
      </w:pPr>
      <w:r w:rsidRPr="00774608">
        <w:rPr>
          <w:rFonts w:cs="Calibri"/>
          <w:i/>
          <w:iCs/>
          <w:lang w:val="ro-RO" w:eastAsia="ro-RO"/>
        </w:rPr>
        <w:t>Planul de acțiuni pentru implementarea etapizată a managementului calității în autorități și instituții publice 2016-2020</w:t>
      </w:r>
      <w:r w:rsidRPr="00774608">
        <w:rPr>
          <w:rFonts w:cs="Calibri"/>
          <w:iCs/>
          <w:lang w:val="ro-RO" w:eastAsia="ro-RO"/>
        </w:rPr>
        <w:t>. Planul poate fi consultat la următorul link:</w:t>
      </w:r>
      <w:r w:rsidRPr="00774608">
        <w:rPr>
          <w:rFonts w:cs="Calibri"/>
          <w:lang w:val="ro-RO"/>
        </w:rPr>
        <w:t xml:space="preserve"> </w:t>
      </w:r>
      <w:hyperlink r:id="rId13" w:history="1">
        <w:r w:rsidRPr="00774608">
          <w:rPr>
            <w:rStyle w:val="Hyperlink"/>
            <w:rFonts w:cs="Calibri"/>
            <w:iCs/>
            <w:color w:val="auto"/>
            <w:lang w:val="ro-RO" w:eastAsia="ro-RO"/>
          </w:rPr>
          <w:t>http://poca.ro/cadru-strategic/strategii-nationale/</w:t>
        </w:r>
      </w:hyperlink>
      <w:r w:rsidR="009D005D">
        <w:rPr>
          <w:rFonts w:cs="Calibri"/>
          <w:lang w:val="ro-RO"/>
        </w:rPr>
        <w:t>,</w:t>
      </w:r>
    </w:p>
    <w:p w:rsidR="004F60F0" w:rsidRPr="009D005D" w:rsidRDefault="004F60F0" w:rsidP="009D005D">
      <w:pPr>
        <w:numPr>
          <w:ilvl w:val="0"/>
          <w:numId w:val="16"/>
        </w:numPr>
        <w:spacing w:after="120" w:line="240" w:lineRule="auto"/>
        <w:jc w:val="both"/>
        <w:rPr>
          <w:rFonts w:cs="Calibri"/>
          <w:iCs/>
          <w:lang w:val="ro-RO" w:eastAsia="ro-RO"/>
        </w:rPr>
      </w:pPr>
      <w:r w:rsidRPr="009D005D">
        <w:rPr>
          <w:rFonts w:cs="Calibri"/>
          <w:i/>
          <w:iCs/>
          <w:lang w:val="ro-RO" w:eastAsia="ro-RO"/>
        </w:rPr>
        <w:t>Planul integrat pentru simplificarea procedurilor administrative aplicabile cetățenilor.</w:t>
      </w:r>
      <w:r w:rsidR="007519FE" w:rsidRPr="009D005D" w:rsidDel="007519FE">
        <w:rPr>
          <w:rFonts w:cs="Calibri"/>
          <w:iCs/>
          <w:lang w:val="ro-RO" w:eastAsia="ro-RO"/>
        </w:rPr>
        <w:t xml:space="preserve"> </w:t>
      </w:r>
      <w:r w:rsidR="007D1056" w:rsidRPr="00E11BC1">
        <w:rPr>
          <w:rFonts w:cs="Calibri"/>
          <w:iCs/>
          <w:lang w:val="ro-RO" w:eastAsia="ro-RO"/>
        </w:rPr>
        <w:t>Planul poate fi consultat la următorul link:</w:t>
      </w:r>
      <w:r w:rsidR="007D1056" w:rsidRPr="00E11BC1">
        <w:rPr>
          <w:rFonts w:cs="Calibri"/>
          <w:lang w:val="ro-RO"/>
        </w:rPr>
        <w:t xml:space="preserve"> </w:t>
      </w:r>
      <w:hyperlink r:id="rId14" w:history="1">
        <w:r w:rsidR="007D1056" w:rsidRPr="009D005D">
          <w:rPr>
            <w:rStyle w:val="Hyperlink"/>
            <w:rFonts w:cs="Calibri"/>
            <w:iCs/>
            <w:color w:val="auto"/>
            <w:lang w:val="ro-RO" w:eastAsia="ro-RO"/>
          </w:rPr>
          <w:t>http://poca.ro/cadru-strategic/strategii-nationale/</w:t>
        </w:r>
      </w:hyperlink>
      <w:r w:rsidR="009D005D">
        <w:rPr>
          <w:rFonts w:cs="Calibri"/>
          <w:lang w:val="ro-RO"/>
        </w:rPr>
        <w:t>.</w:t>
      </w:r>
    </w:p>
    <w:p w:rsidR="00E60AD9" w:rsidRPr="00774608" w:rsidRDefault="00E60AD9" w:rsidP="00E60AD9">
      <w:pPr>
        <w:spacing w:after="120" w:line="240" w:lineRule="auto"/>
        <w:jc w:val="both"/>
        <w:rPr>
          <w:rFonts w:cs="Calibri"/>
          <w:b/>
          <w:bCs/>
          <w:lang w:val="ro-RO"/>
        </w:rPr>
      </w:pPr>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6E7068">
        <w:rPr>
          <w:rStyle w:val="apple-converted-space"/>
          <w:rFonts w:cs="Calibri"/>
          <w:b/>
          <w:lang w:val="ro-RO"/>
        </w:rPr>
        <w:t>1.000</w:t>
      </w:r>
      <w:r w:rsidRPr="00774608">
        <w:rPr>
          <w:rFonts w:cs="Calibri"/>
          <w:b/>
          <w:bCs/>
          <w:lang w:val="ro-RO"/>
        </w:rPr>
        <w:t>.000.000,00 lei.</w:t>
      </w:r>
    </w:p>
    <w:p w:rsidR="00E60AD9" w:rsidRPr="00774608" w:rsidRDefault="00E60AD9" w:rsidP="00E60AD9">
      <w:pPr>
        <w:shd w:val="clear" w:color="auto" w:fill="FFFFFF"/>
        <w:spacing w:after="120" w:line="240" w:lineRule="auto"/>
        <w:jc w:val="both"/>
        <w:rPr>
          <w:rFonts w:cs="Calibri"/>
          <w:bCs/>
          <w:lang w:val="ro-RO"/>
        </w:rPr>
      </w:pPr>
      <w:r w:rsidRPr="00774608">
        <w:rPr>
          <w:rFonts w:cs="Calibri"/>
          <w:bCs/>
          <w:lang w:val="ro-RO"/>
        </w:rPr>
        <w:t>La nivelul unui proiect următoarele praguri valorile sunt aplicabile:</w:t>
      </w:r>
    </w:p>
    <w:p w:rsidR="00E60AD9" w:rsidRPr="00774608" w:rsidRDefault="00E60AD9" w:rsidP="00E00D6C">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DD68A4" w:rsidRPr="00774608">
        <w:rPr>
          <w:rFonts w:cs="Calibri"/>
          <w:bCs/>
          <w:sz w:val="22"/>
          <w:szCs w:val="22"/>
          <w:lang w:val="ro-RO"/>
        </w:rPr>
        <w:t xml:space="preserve"> </w:t>
      </w:r>
      <w:r w:rsidR="005F663C" w:rsidRPr="00774608">
        <w:rPr>
          <w:rFonts w:cs="Calibri"/>
          <w:sz w:val="22"/>
          <w:szCs w:val="22"/>
          <w:lang w:val="ro-RO"/>
        </w:rPr>
        <w:t>5</w:t>
      </w:r>
      <w:r w:rsidRPr="00774608">
        <w:rPr>
          <w:rFonts w:cs="Calibri"/>
          <w:sz w:val="22"/>
          <w:szCs w:val="22"/>
          <w:lang w:val="ro-RO"/>
        </w:rPr>
        <w:t>00.000,00</w:t>
      </w:r>
      <w:r w:rsidRPr="00774608">
        <w:rPr>
          <w:rFonts w:cs="Calibri"/>
          <w:bCs/>
          <w:sz w:val="22"/>
          <w:szCs w:val="22"/>
          <w:lang w:val="ro-RO"/>
        </w:rPr>
        <w:t xml:space="preserve"> lei </w:t>
      </w:r>
    </w:p>
    <w:p w:rsidR="004F60F0" w:rsidRPr="00774608" w:rsidRDefault="00E60AD9" w:rsidP="00E00D6C">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30</w:t>
      </w:r>
      <w:r w:rsidRPr="00774608">
        <w:rPr>
          <w:rFonts w:cs="Calibri"/>
          <w:bCs/>
          <w:lang w:val="ro-RO"/>
        </w:rPr>
        <w:t>.000.000,00 lei</w:t>
      </w:r>
    </w:p>
    <w:p w:rsidR="00EE10A3" w:rsidRDefault="00EE10A3" w:rsidP="00A52D33">
      <w:pPr>
        <w:spacing w:after="120" w:line="240" w:lineRule="auto"/>
        <w:jc w:val="both"/>
        <w:rPr>
          <w:rFonts w:cs="Calibri"/>
          <w:bCs/>
          <w:lang w:val="ro-RO"/>
        </w:rPr>
      </w:pPr>
      <w:r w:rsidRPr="00EE10A3">
        <w:rPr>
          <w:rFonts w:cs="Calibri"/>
          <w:bCs/>
          <w:lang w:val="ro-RO"/>
        </w:rPr>
        <w:t xml:space="preserve">În cazul în care Casa Națională de Asigurări de Sănătate </w:t>
      </w:r>
      <w:r w:rsidR="004A433D">
        <w:rPr>
          <w:rFonts w:cs="Calibri"/>
          <w:bCs/>
          <w:lang w:val="ro-RO"/>
        </w:rPr>
        <w:t xml:space="preserve">(CNAS) </w:t>
      </w:r>
      <w:r w:rsidRPr="00EE10A3">
        <w:rPr>
          <w:rFonts w:cs="Calibri"/>
          <w:bCs/>
          <w:lang w:val="ro-RO"/>
        </w:rPr>
        <w:t>sau Agenția Națională  de Administrare Fiscală (ANAF) vor depune cerere/cereri de finanțare, limita maximă pentru proiect nu li se aplică. Valoarea maximă eligibilă a proiectului depus de CNAS sau a proiectelor depuse de ANAF nu va depăși 175.000.000,00 lei.</w:t>
      </w:r>
    </w:p>
    <w:p w:rsidR="00A52D33" w:rsidRPr="00774608" w:rsidRDefault="00A52D33" w:rsidP="00A52D33">
      <w:pPr>
        <w:spacing w:after="120" w:line="240" w:lineRule="auto"/>
        <w:jc w:val="both"/>
        <w:rPr>
          <w:rFonts w:cs="Calibri"/>
          <w:bCs/>
          <w:lang w:val="ro-RO"/>
        </w:rPr>
      </w:pPr>
      <w:r w:rsidRPr="00774608">
        <w:rPr>
          <w:rFonts w:cs="Calibri"/>
          <w:bCs/>
          <w:lang w:val="ro-RO"/>
        </w:rPr>
        <w:t xml:space="preserve">Proiectele ce vor fi finanțate în cadrul acestei cereri de proiecte trebuie </w:t>
      </w:r>
      <w:r w:rsidRPr="00774608">
        <w:rPr>
          <w:rFonts w:cs="Calibri"/>
          <w:b/>
          <w:bCs/>
          <w:lang w:val="ro-RO"/>
        </w:rPr>
        <w:t>să fie naționale</w:t>
      </w:r>
      <w:r w:rsidRPr="00774608">
        <w:rPr>
          <w:rFonts w:cs="Calibri"/>
          <w:bCs/>
          <w:lang w:val="ro-RO"/>
        </w:rPr>
        <w:t xml:space="preserve"> (în beneficiul regiunilor mai puțin dezvoltate și al regiunii mai dezvoltate) </w:t>
      </w:r>
      <w:r w:rsidRPr="00774608">
        <w:rPr>
          <w:rFonts w:cs="Calibri"/>
          <w:iCs/>
          <w:lang w:val="ro-RO" w:eastAsia="ro-RO"/>
        </w:rPr>
        <w:t xml:space="preserve">și să </w:t>
      </w:r>
      <w:r w:rsidRPr="00774608">
        <w:rPr>
          <w:rFonts w:cs="Calibri"/>
          <w:bCs/>
          <w:lang w:val="ro-RO"/>
        </w:rPr>
        <w:t>îndeplinească condițiile stabilite în acest ghid.</w:t>
      </w:r>
      <w:r w:rsidR="00964C69">
        <w:rPr>
          <w:rFonts w:cs="Calibri"/>
          <w:bCs/>
          <w:lang w:val="ro-RO"/>
        </w:rPr>
        <w:t xml:space="preserve"> </w:t>
      </w:r>
    </w:p>
    <w:p w:rsidR="00430DDA" w:rsidRPr="00774608" w:rsidRDefault="00430DDA" w:rsidP="001C2D6F">
      <w:pPr>
        <w:spacing w:after="120" w:line="240" w:lineRule="auto"/>
        <w:jc w:val="both"/>
        <w:rPr>
          <w:rFonts w:cs="Calibri"/>
          <w:color w:val="000000"/>
          <w:lang w:val="ro-RO"/>
        </w:rPr>
      </w:pPr>
    </w:p>
    <w:p w:rsidR="001B4309" w:rsidRPr="00774608"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60" w:name="_Toc489006350"/>
      <w:bookmarkStart w:id="61" w:name="_Toc510173693"/>
      <w:r w:rsidRPr="00774608">
        <w:rPr>
          <w:rFonts w:ascii="Calibri" w:hAnsi="Calibri" w:cs="Calibri"/>
          <w:color w:val="auto"/>
          <w:sz w:val="22"/>
          <w:szCs w:val="22"/>
          <w:lang w:val="ro-RO"/>
        </w:rPr>
        <w:lastRenderedPageBreak/>
        <w:t>Subsecțiunea 3.2: Contribuția proiectului la program</w:t>
      </w:r>
      <w:bookmarkEnd w:id="60"/>
      <w:bookmarkEnd w:id="61"/>
    </w:p>
    <w:p w:rsidR="001B4309" w:rsidRPr="00774608" w:rsidRDefault="001B4309" w:rsidP="00A17F94">
      <w:pPr>
        <w:pStyle w:val="Heading2"/>
        <w:spacing w:before="0" w:after="120" w:line="240" w:lineRule="auto"/>
        <w:jc w:val="both"/>
        <w:rPr>
          <w:rFonts w:ascii="Calibri" w:hAnsi="Calibri" w:cs="Calibri"/>
          <w:color w:val="auto"/>
          <w:sz w:val="22"/>
          <w:szCs w:val="22"/>
          <w:lang w:val="ro-RO"/>
        </w:rPr>
      </w:pPr>
      <w:bookmarkStart w:id="62" w:name="_Toc489006351"/>
      <w:bookmarkStart w:id="63" w:name="_Toc510173694"/>
      <w:r w:rsidRPr="00774608">
        <w:rPr>
          <w:rFonts w:ascii="Calibri" w:hAnsi="Calibri" w:cs="Calibri"/>
          <w:color w:val="auto"/>
          <w:sz w:val="22"/>
          <w:szCs w:val="22"/>
          <w:lang w:val="ro-RO"/>
        </w:rPr>
        <w:t>Capitolul 3.2.1: Axa prioritară și obiectivul specific POCA</w:t>
      </w:r>
      <w:bookmarkEnd w:id="62"/>
      <w:bookmarkEnd w:id="63"/>
    </w:p>
    <w:p w:rsidR="000152D2" w:rsidRPr="00774608" w:rsidRDefault="00B10EA5" w:rsidP="00A17F94">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rsidR="000E3D62" w:rsidRPr="00774608" w:rsidRDefault="00B10EA5" w:rsidP="00E00D6C">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rsidR="000E3D62" w:rsidRPr="00774608" w:rsidRDefault="00B10EA5" w:rsidP="00E00D6C">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 xml:space="preserve">1.1. </w:t>
      </w:r>
      <w:bookmarkStart w:id="64" w:name="_Hlk515872210"/>
      <w:r w:rsidR="00996FCA"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64"/>
      <w:r w:rsidR="00891437" w:rsidRPr="00774608">
        <w:rPr>
          <w:rFonts w:cs="Calibri"/>
          <w:lang w:val="ro-RO"/>
        </w:rPr>
        <w:t>.</w:t>
      </w:r>
    </w:p>
    <w:p w:rsidR="00B10EA5" w:rsidRPr="00774608" w:rsidRDefault="006065D1" w:rsidP="00A17F94">
      <w:pPr>
        <w:pStyle w:val="Heading3"/>
        <w:spacing w:before="0" w:after="120" w:line="240" w:lineRule="auto"/>
        <w:jc w:val="both"/>
        <w:rPr>
          <w:rFonts w:ascii="Calibri" w:hAnsi="Calibri" w:cs="Calibri"/>
          <w:color w:val="000000"/>
          <w:sz w:val="22"/>
          <w:szCs w:val="22"/>
          <w:lang w:val="ro-RO"/>
        </w:rPr>
      </w:pPr>
      <w:bookmarkStart w:id="65" w:name="_Capitolul_3.2.2:_Rezultatele"/>
      <w:bookmarkStart w:id="66" w:name="_Toc510173695"/>
      <w:bookmarkEnd w:id="65"/>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6"/>
    </w:p>
    <w:p w:rsidR="00891437" w:rsidRPr="00774608" w:rsidRDefault="005B7903"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w:t>
      </w:r>
      <w:r w:rsidRPr="00774608">
        <w:rPr>
          <w:rFonts w:cs="Calibri"/>
          <w:lang w:val="ro-RO"/>
        </w:rPr>
        <w:t>: Planificarea strategică și bugetarea pe programe în autoritățile și instituțiile publice centrale sunt realizate pe baza metodologiilor și instrumentelor comune</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R2</w:t>
      </w:r>
      <w:r w:rsidRPr="00774608">
        <w:rPr>
          <w:rFonts w:cs="Calibri"/>
          <w:lang w:val="ro-RO"/>
        </w:rPr>
        <w:t>: Mandate, roluri și competente clarificate atât la nivelul aceluiași palier administrativ, cât și între palierele administrative</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R3</w:t>
      </w:r>
      <w:r w:rsidRPr="00774608">
        <w:rPr>
          <w:rFonts w:cs="Calibri"/>
          <w:lang w:val="ro-RO"/>
        </w:rPr>
        <w:t>: Sisteme unitare de management al calității și performanței implementate în autoritățile și instituțiile publice centrale</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r w:rsidR="004F5D34" w:rsidRPr="00774608">
        <w:rPr>
          <w:rFonts w:cs="Calibri"/>
          <w:lang w:val="ro-RO"/>
        </w:rPr>
        <w:t>;</w:t>
      </w:r>
    </w:p>
    <w:p w:rsidR="008B2DE3" w:rsidRPr="00B14195" w:rsidRDefault="008B2DE3" w:rsidP="005B7903">
      <w:pPr>
        <w:numPr>
          <w:ilvl w:val="0"/>
          <w:numId w:val="38"/>
        </w:numPr>
        <w:spacing w:after="120" w:line="240" w:lineRule="auto"/>
        <w:jc w:val="both"/>
        <w:rPr>
          <w:rFonts w:cs="Calibri"/>
          <w:lang w:val="ro-RO"/>
        </w:rPr>
      </w:pPr>
      <w:bookmarkStart w:id="67" w:name="_Hlk519670509"/>
      <w:r w:rsidRPr="007E305F">
        <w:rPr>
          <w:rFonts w:cs="Calibri"/>
          <w:b/>
          <w:lang w:val="ro-RO"/>
        </w:rPr>
        <w:t>R7</w:t>
      </w:r>
      <w:r w:rsidRPr="007E305F">
        <w:rPr>
          <w:rFonts w:cs="Calibri"/>
          <w:lang w:val="ro-RO"/>
        </w:rPr>
        <w:t>: Proceduri simplificate pentru reducerea poverii administrative pentru mediul de afaceri implementate în concordanță cu Strategia pentru o mai bună reglementare</w:t>
      </w:r>
      <w:r w:rsidR="004F5D34" w:rsidRPr="007E305F">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B14195">
        <w:rPr>
          <w:rFonts w:cs="Calibri"/>
          <w:b/>
          <w:lang w:val="ro-RO"/>
        </w:rPr>
        <w:t>R8</w:t>
      </w:r>
      <w:r w:rsidRPr="00B14195">
        <w:rPr>
          <w:rFonts w:cs="Calibri"/>
          <w:lang w:val="ro-RO"/>
        </w:rPr>
        <w:t>: Proceduri simplificate pentru reducerea birocrației pentru cetățeni implementate la nivel central în concordanță cu Planul integrat pentru simplificarea procedurilor administrative pentru cetățeni</w:t>
      </w:r>
      <w:r w:rsidR="004F5D34" w:rsidRPr="00E11BC1">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R9</w:t>
      </w:r>
      <w:r w:rsidRPr="00774608">
        <w:rPr>
          <w:rFonts w:cs="Calibri"/>
          <w:lang w:val="ro-RO"/>
        </w:rPr>
        <w:t xml:space="preserve">: Povara administrativă redusă pentru </w:t>
      </w:r>
      <w:proofErr w:type="spellStart"/>
      <w:r w:rsidRPr="00774608">
        <w:rPr>
          <w:rFonts w:cs="Calibri"/>
          <w:lang w:val="ro-RO"/>
        </w:rPr>
        <w:t>cetateni</w:t>
      </w:r>
      <w:proofErr w:type="spellEnd"/>
      <w:r w:rsidRPr="00774608">
        <w:rPr>
          <w:rFonts w:cs="Calibri"/>
          <w:lang w:val="ro-RO"/>
        </w:rPr>
        <w:t xml:space="preserve"> si mediul de afaceri</w:t>
      </w:r>
      <w:r w:rsidR="004F5D34" w:rsidRPr="00774608">
        <w:rPr>
          <w:rFonts w:cs="Calibri"/>
          <w:lang w:val="ro-RO"/>
        </w:rPr>
        <w:t>;</w:t>
      </w:r>
    </w:p>
    <w:bookmarkEnd w:id="67"/>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R12</w:t>
      </w:r>
      <w:r w:rsidRPr="00774608">
        <w:rPr>
          <w:rFonts w:cs="Calibri"/>
          <w:lang w:val="ro-RO"/>
        </w:rPr>
        <w:t>: Cunoștințe și abilități ale personalului din autoritățile și instituțiile publice centrale îmbunătățite pentru susținerea măsurilor/acțiunilor din cadrul acestui obiectiv specific</w:t>
      </w:r>
      <w:r w:rsidR="004F5D34" w:rsidRPr="00774608">
        <w:rPr>
          <w:rFonts w:cs="Calibri"/>
          <w:lang w:val="ro-RO"/>
        </w:rPr>
        <w:t>.</w:t>
      </w:r>
    </w:p>
    <w:p w:rsidR="00964C69" w:rsidRDefault="00964C69" w:rsidP="008B2DE3">
      <w:pPr>
        <w:spacing w:after="120" w:line="240" w:lineRule="auto"/>
        <w:jc w:val="both"/>
        <w:rPr>
          <w:rFonts w:cs="Calibri"/>
          <w:lang w:val="ro-RO"/>
        </w:rPr>
      </w:pPr>
      <w:r w:rsidRPr="00964C69">
        <w:rPr>
          <w:rFonts w:cs="Calibri"/>
          <w:lang w:val="ro-RO"/>
        </w:rPr>
        <w:t>Proiectele pot aborda mai multe domenii (managementul calității, simplificare pentru cetățeni și /sau mediul de afaceri, sistematizarea și simplificarea fondului activ al legislației, cadru pentru dezvoltare la nivel local, elaborare de politici publice).</w:t>
      </w:r>
    </w:p>
    <w:p w:rsidR="00EC5B97" w:rsidRPr="00774608" w:rsidRDefault="00EC5B97" w:rsidP="008B2DE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contribuie la atingerea rezultat</w:t>
      </w:r>
      <w:r w:rsidR="00BD4D7C" w:rsidRPr="00774608">
        <w:rPr>
          <w:rFonts w:cs="Calibri"/>
          <w:lang w:val="ro-RO"/>
        </w:rPr>
        <w:t>ului</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rsidTr="00E00D6C">
        <w:tc>
          <w:tcPr>
            <w:tcW w:w="9521" w:type="dxa"/>
            <w:shd w:val="clear" w:color="auto" w:fill="D9D9D9"/>
          </w:tcPr>
          <w:p w:rsidR="00FB0D4D" w:rsidRPr="00774608" w:rsidRDefault="00FB0D4D" w:rsidP="00E00D6C">
            <w:pPr>
              <w:spacing w:after="120" w:line="240" w:lineRule="auto"/>
              <w:jc w:val="both"/>
              <w:outlineLvl w:val="3"/>
              <w:rPr>
                <w:rFonts w:eastAsia="Times New Roman" w:cs="Calibri"/>
                <w:lang w:val="ro-RO"/>
              </w:rPr>
            </w:pPr>
            <w:r w:rsidRPr="00774608">
              <w:rPr>
                <w:rFonts w:eastAsia="Times New Roman" w:cs="Calibri"/>
                <w:b/>
                <w:bCs/>
                <w:lang w:val="ro-RO"/>
              </w:rPr>
              <w:t>ATENȚIE!</w:t>
            </w:r>
          </w:p>
          <w:p w:rsidR="00FB0D4D" w:rsidRPr="00774608" w:rsidRDefault="00FB0D4D" w:rsidP="00E00D6C">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R12.</w:t>
            </w:r>
            <w:r w:rsidRPr="00774608">
              <w:rPr>
                <w:rFonts w:eastAsia="Times New Roman" w:cs="Calibri"/>
                <w:b/>
                <w:color w:val="FFFF00"/>
                <w:lang w:val="ro-RO"/>
              </w:rPr>
              <w:t> </w:t>
            </w:r>
          </w:p>
        </w:tc>
      </w:tr>
    </w:tbl>
    <w:p w:rsidR="00FB0D4D" w:rsidRPr="00774608" w:rsidRDefault="00FB0D4D" w:rsidP="00FB0D4D">
      <w:pPr>
        <w:spacing w:after="120" w:line="240" w:lineRule="auto"/>
        <w:jc w:val="both"/>
        <w:rPr>
          <w:rFonts w:cs="Calibri"/>
          <w:lang w:val="ro-RO"/>
        </w:rPr>
      </w:pPr>
    </w:p>
    <w:p w:rsidR="00C64967" w:rsidRPr="00774608" w:rsidRDefault="00C64967" w:rsidP="00A17F94">
      <w:pPr>
        <w:pStyle w:val="Heading3"/>
        <w:spacing w:before="0" w:after="120" w:line="240" w:lineRule="auto"/>
        <w:jc w:val="both"/>
        <w:rPr>
          <w:rFonts w:ascii="Calibri" w:hAnsi="Calibri" w:cs="Calibri"/>
          <w:color w:val="auto"/>
          <w:sz w:val="22"/>
          <w:szCs w:val="22"/>
          <w:lang w:val="ro-RO"/>
        </w:rPr>
      </w:pPr>
      <w:bookmarkStart w:id="68" w:name="_Capitolul_3.2.3:_Indicatorii"/>
      <w:bookmarkStart w:id="69" w:name="_Toc489006353"/>
      <w:bookmarkStart w:id="70" w:name="_Toc510173696"/>
      <w:bookmarkEnd w:id="68"/>
      <w:r w:rsidRPr="00774608">
        <w:rPr>
          <w:rFonts w:ascii="Calibri" w:hAnsi="Calibri" w:cs="Calibri"/>
          <w:color w:val="auto"/>
          <w:sz w:val="22"/>
          <w:szCs w:val="22"/>
          <w:lang w:val="ro-RO"/>
        </w:rPr>
        <w:lastRenderedPageBreak/>
        <w:t>Capitolul 3.2.3: Indicatorii POCA – indicatori prestabiliți</w:t>
      </w:r>
      <w:bookmarkEnd w:id="69"/>
      <w:bookmarkEnd w:id="70"/>
    </w:p>
    <w:p w:rsidR="00891437" w:rsidRDefault="00031A8D" w:rsidP="00A17F94">
      <w:pPr>
        <w:spacing w:after="12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îndeplinirea căruia/cărora contribuie proiectul (exemplu: pentru R1: </w:t>
      </w:r>
      <w:r w:rsidRPr="00774608">
        <w:rPr>
          <w:rFonts w:cs="Calibri"/>
          <w:lang w:val="ro-RO"/>
        </w:rPr>
        <w:t>Planificarea strategică și bugetarea pe programe în autoritățile și instituțiile publice centrale sunt realizate pe baza metodologiilor și instrumentelor comune</w:t>
      </w:r>
      <w:r w:rsidRPr="00774608">
        <w:rPr>
          <w:rFonts w:eastAsia="Times New Roman" w:cs="Calibri"/>
          <w:bCs/>
          <w:color w:val="000000"/>
          <w:lang w:val="ro-RO" w:eastAsia="x-none"/>
        </w:rPr>
        <w:t>:  5S</w:t>
      </w:r>
      <w:r w:rsidR="00E235D8" w:rsidRPr="00774608">
        <w:rPr>
          <w:rFonts w:eastAsia="Times New Roman" w:cs="Calibri"/>
          <w:bCs/>
          <w:color w:val="000000"/>
          <w:lang w:val="ro-RO" w:eastAsia="x-none"/>
        </w:rPr>
        <w:t>38</w:t>
      </w:r>
      <w:r w:rsidRPr="00774608">
        <w:rPr>
          <w:rFonts w:eastAsia="Times New Roman" w:cs="Calibri"/>
          <w:bCs/>
          <w:color w:val="000000"/>
          <w:lang w:val="ro-RO" w:eastAsia="x-none"/>
        </w:rPr>
        <w:t xml:space="preserve"> </w:t>
      </w:r>
      <w:r w:rsidR="00E235D8" w:rsidRPr="00774608">
        <w:rPr>
          <w:rFonts w:cs="Calibri"/>
          <w:lang w:val="ro-RO"/>
        </w:rPr>
        <w:t>Autorități și instituții publice centrale sprijinite pentru a introduce planificarea strategică și bugetarea pe programe</w:t>
      </w:r>
      <w:r w:rsidRPr="00774608">
        <w:rPr>
          <w:rFonts w:eastAsia="Times New Roman" w:cs="Calibri"/>
          <w:bCs/>
          <w:color w:val="000000"/>
          <w:lang w:val="ro-RO" w:eastAsia="x-none"/>
        </w:rPr>
        <w:t xml:space="preserve"> –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 xml:space="preserve">), 5S1 </w:t>
      </w:r>
      <w:r w:rsidR="00E235D8" w:rsidRPr="00774608">
        <w:rPr>
          <w:rFonts w:cs="Calibri"/>
          <w:lang w:val="ro-RO" w:eastAsia="en-GB"/>
        </w:rPr>
        <w:t>Autorități și instituții publice centrale care au implementat planificarea strategică și bugetarea pe programe pe baza metodologiilor și instrumentelor unitare</w:t>
      </w:r>
      <w:r w:rsidR="00E235D8"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w:t>
      </w:r>
    </w:p>
    <w:p w:rsidR="00964C69" w:rsidRPr="00774608" w:rsidRDefault="00964C69" w:rsidP="00A17F94">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rsidTr="001F2A86">
        <w:trPr>
          <w:trHeight w:val="447"/>
        </w:trPr>
        <w:tc>
          <w:tcPr>
            <w:tcW w:w="2982" w:type="dxa"/>
            <w:shd w:val="clear" w:color="auto" w:fill="BFBFBF"/>
          </w:tcPr>
          <w:p w:rsidR="00EC5B97" w:rsidRPr="00774608" w:rsidRDefault="00EC5B97" w:rsidP="00A17F94">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rsidR="00EC5B97" w:rsidRPr="00774608" w:rsidRDefault="00E13D59" w:rsidP="00A17F94">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rsidR="00EC5B97" w:rsidRPr="00774608" w:rsidRDefault="00E13D59" w:rsidP="00A17F94">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3C4FEB" w:rsidRPr="00774608" w:rsidTr="001F2A86">
        <w:trPr>
          <w:trHeight w:val="447"/>
        </w:trPr>
        <w:tc>
          <w:tcPr>
            <w:tcW w:w="2982" w:type="dxa"/>
            <w:shd w:val="clear" w:color="auto" w:fill="auto"/>
          </w:tcPr>
          <w:p w:rsidR="003C4FEB" w:rsidRPr="00774608" w:rsidRDefault="003C4FEB" w:rsidP="003C4FEB">
            <w:pPr>
              <w:spacing w:after="120" w:line="240" w:lineRule="auto"/>
              <w:jc w:val="both"/>
              <w:rPr>
                <w:rFonts w:cs="Calibri"/>
                <w:b/>
                <w:lang w:val="ro-RO" w:eastAsia="en-GB"/>
              </w:rPr>
            </w:pPr>
            <w:r w:rsidRPr="00774608">
              <w:rPr>
                <w:rFonts w:cs="Calibri"/>
                <w:b/>
                <w:lang w:val="ro-RO" w:eastAsia="en-GB"/>
              </w:rPr>
              <w:t>R1:</w:t>
            </w:r>
            <w:r w:rsidRPr="00774608">
              <w:rPr>
                <w:rFonts w:cs="Calibri"/>
                <w:lang w:val="ro-RO"/>
              </w:rPr>
              <w:t xml:space="preserve"> </w:t>
            </w:r>
            <w:r w:rsidR="00006C9F" w:rsidRPr="00774608">
              <w:rPr>
                <w:rFonts w:cs="Calibri"/>
                <w:lang w:val="ro-RO"/>
              </w:rPr>
              <w:t>Planificarea strategică și bugetarea pe programe în autoritățile și instituțiile publice centrale sunt realizate pe baza metodologiilor și instrumentelor comune</w:t>
            </w:r>
          </w:p>
        </w:tc>
        <w:tc>
          <w:tcPr>
            <w:tcW w:w="3402" w:type="dxa"/>
            <w:shd w:val="clear" w:color="auto" w:fill="auto"/>
            <w:noWrap/>
          </w:tcPr>
          <w:p w:rsidR="003C4FEB" w:rsidRPr="00774608" w:rsidRDefault="008601C6" w:rsidP="003C4FEB">
            <w:pPr>
              <w:spacing w:after="0" w:line="240" w:lineRule="auto"/>
              <w:jc w:val="both"/>
              <w:rPr>
                <w:rFonts w:cs="Calibri"/>
                <w:lang w:val="ro-RO" w:eastAsia="en-GB"/>
              </w:rPr>
            </w:pPr>
            <w:r w:rsidRPr="00774608">
              <w:rPr>
                <w:rFonts w:cs="Calibri"/>
                <w:b/>
                <w:lang w:val="ro-RO" w:eastAsia="en-GB"/>
              </w:rPr>
              <w:t>5S1</w:t>
            </w:r>
            <w:r w:rsidRPr="00774608">
              <w:rPr>
                <w:rFonts w:cs="Calibri"/>
                <w:lang w:val="ro-RO" w:eastAsia="en-GB"/>
              </w:rPr>
              <w:t xml:space="preserve"> Autorități și instituții publice centrale care au implementat planificarea strategică și bugetarea pe programe pe baza metodologiilor și instrumentelor unitare</w:t>
            </w:r>
          </w:p>
        </w:tc>
        <w:tc>
          <w:tcPr>
            <w:tcW w:w="3119" w:type="dxa"/>
            <w:shd w:val="clear" w:color="auto" w:fill="auto"/>
          </w:tcPr>
          <w:p w:rsidR="003C4FEB" w:rsidRPr="00774608" w:rsidRDefault="008601C6" w:rsidP="008601C6">
            <w:pPr>
              <w:spacing w:after="120" w:line="240" w:lineRule="auto"/>
              <w:jc w:val="both"/>
              <w:rPr>
                <w:rFonts w:cs="Calibri"/>
                <w:lang w:val="ro-RO"/>
              </w:rPr>
            </w:pPr>
            <w:r w:rsidRPr="00774608">
              <w:rPr>
                <w:rFonts w:cs="Calibri"/>
                <w:b/>
                <w:lang w:val="ro-RO"/>
              </w:rPr>
              <w:t xml:space="preserve">5S38 </w:t>
            </w:r>
            <w:r w:rsidRPr="00774608">
              <w:rPr>
                <w:rFonts w:cs="Calibri"/>
                <w:lang w:val="ro-RO"/>
              </w:rPr>
              <w:t xml:space="preserve"> Autorități și instituții publice centrale sprijinite pentru a introduce planificarea strategică și bugetarea pe programe</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R3:</w:t>
            </w:r>
            <w:r w:rsidRPr="00774608">
              <w:rPr>
                <w:rFonts w:cs="Calibri"/>
                <w:sz w:val="22"/>
                <w:szCs w:val="22"/>
                <w:lang w:val="ro-RO" w:eastAsia="en-US"/>
              </w:rPr>
              <w:t xml:space="preserve"> Sisteme unitare de management al calității și performanței implementate în autoritățile și instituțiile publice centrale;</w:t>
            </w:r>
          </w:p>
        </w:tc>
        <w:tc>
          <w:tcPr>
            <w:tcW w:w="3402" w:type="dxa"/>
            <w:shd w:val="clear" w:color="000000" w:fill="FFFFFF"/>
            <w:noWrap/>
          </w:tcPr>
          <w:p w:rsidR="003C4FEB" w:rsidRPr="00774608" w:rsidRDefault="003C4FEB" w:rsidP="003C4FEB">
            <w:pPr>
              <w:spacing w:after="120" w:line="240" w:lineRule="auto"/>
              <w:jc w:val="both"/>
              <w:rPr>
                <w:rFonts w:cs="Calibri"/>
                <w:lang w:val="ro-RO" w:eastAsia="en-GB"/>
              </w:rPr>
            </w:pPr>
            <w:r w:rsidRPr="00774608">
              <w:rPr>
                <w:rFonts w:cs="Calibri"/>
                <w:b/>
                <w:lang w:val="ro-RO" w:eastAsia="en-GB"/>
              </w:rPr>
              <w:t>5S2</w:t>
            </w:r>
            <w:r w:rsidRPr="00774608">
              <w:rPr>
                <w:rFonts w:cs="Calibri"/>
                <w:lang w:val="ro-RO"/>
              </w:rPr>
              <w:t xml:space="preserve"> Autorități și instituții publice centrale care au implementat sistemele unitare de management al calității și performanței</w:t>
            </w:r>
          </w:p>
        </w:tc>
        <w:tc>
          <w:tcPr>
            <w:tcW w:w="3119" w:type="dxa"/>
            <w:shd w:val="clear" w:color="000000" w:fill="FFFFFF"/>
          </w:tcPr>
          <w:p w:rsidR="003C4FEB" w:rsidRPr="00774608" w:rsidRDefault="003C4FEB" w:rsidP="008601C6">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Autorități și instituții publice centrale sprijinite pentru a introduce sistemele unitare de management al calității și performanței</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R4</w:t>
            </w:r>
            <w:r w:rsidRPr="00774608">
              <w:rPr>
                <w:rFonts w:cs="Calibri"/>
                <w:sz w:val="22"/>
                <w:szCs w:val="22"/>
                <w:lang w:val="ro-RO" w:eastAsia="en-US"/>
              </w:rPr>
              <w:t>: Aplicarea sistemului de politici bazate pe dovezi în autoritățile și instituțiile publice centrale, inclusiv evaluarea ex ante a impactului</w:t>
            </w:r>
          </w:p>
        </w:tc>
        <w:tc>
          <w:tcPr>
            <w:tcW w:w="3402" w:type="dxa"/>
            <w:shd w:val="clear" w:color="000000" w:fill="FFFFFF"/>
            <w:noWrap/>
          </w:tcPr>
          <w:p w:rsidR="003C4FEB" w:rsidRPr="00774608" w:rsidRDefault="003C4FEB" w:rsidP="003C4FEB">
            <w:pPr>
              <w:spacing w:after="120" w:line="240" w:lineRule="auto"/>
              <w:jc w:val="both"/>
              <w:rPr>
                <w:rFonts w:cs="Calibri"/>
                <w:lang w:val="ro-RO"/>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3119" w:type="dxa"/>
            <w:shd w:val="clear" w:color="000000" w:fill="FFFFFF"/>
          </w:tcPr>
          <w:p w:rsidR="003C4FEB" w:rsidRPr="00774608" w:rsidRDefault="003C4FEB" w:rsidP="003C4FEB">
            <w:pPr>
              <w:spacing w:after="120" w:line="240" w:lineRule="auto"/>
              <w:jc w:val="both"/>
              <w:rPr>
                <w:rFonts w:cs="Calibri"/>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C4FEB" w:rsidRPr="00774608" w:rsidTr="001F2A86">
        <w:trPr>
          <w:trHeight w:val="346"/>
        </w:trPr>
        <w:tc>
          <w:tcPr>
            <w:tcW w:w="2982" w:type="dxa"/>
            <w:shd w:val="clear" w:color="000000" w:fill="FFFFFF"/>
          </w:tcPr>
          <w:p w:rsidR="00F05CEF" w:rsidRPr="00774608" w:rsidRDefault="00F05CEF" w:rsidP="003C4FEB">
            <w:pPr>
              <w:pStyle w:val="BodyText"/>
              <w:spacing w:after="120"/>
              <w:ind w:left="39"/>
              <w:jc w:val="both"/>
              <w:rPr>
                <w:rFonts w:cs="Calibri"/>
                <w:b/>
                <w:sz w:val="22"/>
                <w:szCs w:val="22"/>
                <w:lang w:val="ro-RO" w:eastAsia="en-US"/>
              </w:rPr>
            </w:pPr>
            <w:r w:rsidRPr="00774608">
              <w:rPr>
                <w:rFonts w:cs="Calibri"/>
                <w:b/>
                <w:sz w:val="22"/>
                <w:szCs w:val="22"/>
                <w:lang w:val="ro-RO"/>
              </w:rPr>
              <w:t>R2:</w:t>
            </w:r>
            <w:r w:rsidRPr="00774608">
              <w:rPr>
                <w:rFonts w:cs="Calibri"/>
                <w:sz w:val="22"/>
                <w:szCs w:val="22"/>
                <w:lang w:val="ro-RO"/>
              </w:rPr>
              <w:t xml:space="preserve"> Mandate, roluri și competente clarificate atât la nivelul aceluiași palier administrativ, cât și între palierele administrative</w:t>
            </w:r>
          </w:p>
          <w:p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p>
        </w:tc>
        <w:tc>
          <w:tcPr>
            <w:tcW w:w="3402" w:type="dxa"/>
            <w:shd w:val="clear" w:color="000000" w:fill="FFFFFF"/>
            <w:noWrap/>
          </w:tcPr>
          <w:p w:rsidR="003C4FEB" w:rsidRPr="00774608" w:rsidRDefault="003C4FEB" w:rsidP="003C4FEB">
            <w:pPr>
              <w:spacing w:after="120" w:line="240" w:lineRule="auto"/>
              <w:jc w:val="both"/>
              <w:rPr>
                <w:rFonts w:cs="Calibri"/>
                <w:lang w:val="ro-RO" w:eastAsia="en-GB"/>
              </w:rPr>
            </w:pPr>
            <w:r w:rsidRPr="00774608">
              <w:rPr>
                <w:rFonts w:cs="Calibri"/>
                <w:lang w:val="ro-RO" w:eastAsia="en-GB"/>
              </w:rPr>
              <w:t>-</w:t>
            </w:r>
          </w:p>
        </w:tc>
        <w:tc>
          <w:tcPr>
            <w:tcW w:w="3119" w:type="dxa"/>
            <w:shd w:val="clear" w:color="000000" w:fill="FFFFFF"/>
            <w:vAlign w:val="center"/>
          </w:tcPr>
          <w:p w:rsidR="003C4FEB" w:rsidRPr="00774608" w:rsidRDefault="003C4FEB" w:rsidP="003C4FEB">
            <w:pPr>
              <w:spacing w:after="120" w:line="240" w:lineRule="auto"/>
              <w:jc w:val="both"/>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tc>
      </w:tr>
      <w:tr w:rsidR="003C4FEB" w:rsidRPr="00774608" w:rsidTr="001F2A86">
        <w:trPr>
          <w:trHeight w:val="1202"/>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R6:</w:t>
            </w:r>
            <w:r w:rsidRPr="00774608">
              <w:rPr>
                <w:rFonts w:cs="Calibri"/>
                <w:sz w:val="22"/>
                <w:szCs w:val="22"/>
                <w:lang w:val="ro-RO" w:eastAsia="en-US"/>
              </w:rPr>
              <w:t xml:space="preserve"> Fondul activ al legislației sistematizat și simplificat progresiv</w:t>
            </w:r>
          </w:p>
        </w:tc>
        <w:tc>
          <w:tcPr>
            <w:tcW w:w="3402" w:type="dxa"/>
            <w:shd w:val="clear" w:color="000000" w:fill="FFFFFF"/>
            <w:noWrap/>
          </w:tcPr>
          <w:p w:rsidR="003C4FEB" w:rsidRPr="00774608" w:rsidRDefault="002E34FC" w:rsidP="003C4FEB">
            <w:pPr>
              <w:spacing w:after="120" w:line="240" w:lineRule="auto"/>
              <w:rPr>
                <w:rFonts w:cs="Calibri"/>
                <w:lang w:val="ro-RO" w:eastAsia="en-GB"/>
              </w:rPr>
            </w:pPr>
            <w:r>
              <w:rPr>
                <w:rFonts w:cs="Calibri"/>
                <w:b/>
                <w:lang w:val="ro-RO" w:eastAsia="en-GB"/>
              </w:rPr>
              <w:t>-</w:t>
            </w:r>
          </w:p>
        </w:tc>
        <w:tc>
          <w:tcPr>
            <w:tcW w:w="3119" w:type="dxa"/>
            <w:shd w:val="clear" w:color="000000" w:fill="FFFFFF"/>
          </w:tcPr>
          <w:p w:rsidR="003C4FEB" w:rsidRPr="00774608" w:rsidRDefault="003C4FEB" w:rsidP="003C4FEB">
            <w:pPr>
              <w:pStyle w:val="BodyText"/>
              <w:spacing w:after="120"/>
              <w:ind w:left="0"/>
              <w:jc w:val="both"/>
              <w:rPr>
                <w:rFonts w:cs="Calibri"/>
                <w:sz w:val="22"/>
                <w:szCs w:val="22"/>
                <w:lang w:val="ro-RO" w:eastAsia="en-US"/>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sz w:val="22"/>
                <w:szCs w:val="22"/>
                <w:lang w:val="ro-RO" w:eastAsia="en-US"/>
              </w:rPr>
              <w:t xml:space="preserve">Autorități și instituții publice sprijinite pentru a sistematiza  fondul activ al legislației </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R7:</w:t>
            </w:r>
            <w:r w:rsidRPr="00774608">
              <w:rPr>
                <w:rFonts w:cs="Calibri"/>
                <w:sz w:val="22"/>
                <w:szCs w:val="22"/>
                <w:lang w:val="ro-RO" w:eastAsia="en-US"/>
              </w:rPr>
              <w:t xml:space="preserve"> Proceduri simplificate pentru reducerea poverii administrative pentru mediul de afaceri implementate în concordanță cu Strategia </w:t>
            </w:r>
            <w:r w:rsidRPr="00774608">
              <w:rPr>
                <w:rFonts w:cs="Calibri"/>
                <w:sz w:val="22"/>
                <w:szCs w:val="22"/>
                <w:lang w:val="ro-RO" w:eastAsia="en-US"/>
              </w:rPr>
              <w:lastRenderedPageBreak/>
              <w:t>pentru o mai bună reglementare</w:t>
            </w:r>
          </w:p>
          <w:p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R8:</w:t>
            </w:r>
            <w:r w:rsidRPr="00774608">
              <w:rPr>
                <w:rFonts w:cs="Calibri"/>
                <w:sz w:val="22"/>
                <w:szCs w:val="22"/>
                <w:lang w:val="ro-RO" w:eastAsia="en-US"/>
              </w:rPr>
              <w:t xml:space="preserve"> Proceduri simplificate pentru reducerea birocrației pentru cetățeni implementate la nivel central în concordanță cu Planul integrat pentru simplificarea procedurilor administrative pentru cetățeni</w:t>
            </w:r>
          </w:p>
          <w:p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GB"/>
              </w:rPr>
              <w:t>R9:</w:t>
            </w:r>
            <w:r w:rsidRPr="00774608">
              <w:rPr>
                <w:rFonts w:cs="Calibri"/>
                <w:sz w:val="22"/>
                <w:szCs w:val="22"/>
                <w:lang w:val="ro-RO" w:eastAsia="en-GB"/>
              </w:rPr>
              <w:t xml:space="preserve"> Povara administrativă redusă pentru </w:t>
            </w:r>
            <w:proofErr w:type="spellStart"/>
            <w:r w:rsidRPr="00774608">
              <w:rPr>
                <w:rFonts w:cs="Calibri"/>
                <w:sz w:val="22"/>
                <w:szCs w:val="22"/>
                <w:lang w:val="ro-RO" w:eastAsia="en-GB"/>
              </w:rPr>
              <w:t>cetateni</w:t>
            </w:r>
            <w:proofErr w:type="spellEnd"/>
            <w:r w:rsidRPr="00774608">
              <w:rPr>
                <w:rFonts w:cs="Calibri"/>
                <w:sz w:val="22"/>
                <w:szCs w:val="22"/>
                <w:lang w:val="ro-RO" w:eastAsia="en-GB"/>
              </w:rPr>
              <w:t xml:space="preserve"> si mediul de afaceri</w:t>
            </w:r>
          </w:p>
        </w:tc>
        <w:tc>
          <w:tcPr>
            <w:tcW w:w="3402" w:type="dxa"/>
            <w:shd w:val="clear" w:color="000000" w:fill="FFFFFF"/>
            <w:noWrap/>
            <w:vAlign w:val="center"/>
          </w:tcPr>
          <w:p w:rsidR="003C4FEB" w:rsidRPr="00774608" w:rsidRDefault="003C4FEB" w:rsidP="003C4FEB">
            <w:pPr>
              <w:spacing w:after="120" w:line="240" w:lineRule="auto"/>
              <w:jc w:val="both"/>
              <w:rPr>
                <w:rFonts w:cs="Calibri"/>
                <w:lang w:val="ro-RO" w:eastAsia="en-GB"/>
              </w:rPr>
            </w:pPr>
            <w:r w:rsidRPr="00774608">
              <w:rPr>
                <w:rFonts w:cs="Calibri"/>
                <w:b/>
                <w:lang w:val="ro-RO" w:eastAsia="en-GB"/>
              </w:rPr>
              <w:lastRenderedPageBreak/>
              <w:t>5S5</w:t>
            </w:r>
            <w:r w:rsidRPr="00774608">
              <w:rPr>
                <w:rFonts w:cs="Calibri"/>
                <w:lang w:val="ro-RO"/>
              </w:rPr>
              <w:t xml:space="preserve"> Autorități și instituții publice centrale care au implementat măsuri unitare de reducere a poverii administrative pentru mediul de afaceri și pentru cetățeni</w:t>
            </w:r>
          </w:p>
        </w:tc>
        <w:tc>
          <w:tcPr>
            <w:tcW w:w="3119" w:type="dxa"/>
            <w:shd w:val="clear" w:color="000000" w:fill="FFFFFF"/>
            <w:vAlign w:val="center"/>
          </w:tcPr>
          <w:p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5S43</w:t>
            </w:r>
            <w:r w:rsidRPr="00774608">
              <w:rPr>
                <w:rFonts w:cs="Calibri"/>
                <w:sz w:val="22"/>
                <w:szCs w:val="22"/>
                <w:lang w:val="ro-RO" w:eastAsia="en-US"/>
              </w:rPr>
              <w:t xml:space="preserve"> Autorități și instituții publice centrale sprijinite pentru a introduce măsuri unitare pentru reducerea poverii administrative pentru mediul de </w:t>
            </w:r>
            <w:r w:rsidRPr="00774608">
              <w:rPr>
                <w:rFonts w:cs="Calibri"/>
                <w:sz w:val="22"/>
                <w:szCs w:val="22"/>
                <w:lang w:val="ro-RO" w:eastAsia="en-US"/>
              </w:rPr>
              <w:lastRenderedPageBreak/>
              <w:t xml:space="preserve">afaceri si pentru cetățeni </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lastRenderedPageBreak/>
              <w:t>R12:</w:t>
            </w:r>
            <w:r w:rsidRPr="00774608">
              <w:rPr>
                <w:rFonts w:cs="Calibri"/>
                <w:sz w:val="22"/>
                <w:szCs w:val="22"/>
                <w:lang w:val="ro-RO" w:eastAsia="en-US"/>
              </w:rPr>
              <w:t xml:space="preserve"> Cunoștințe și abilități ale personalului din autoritățile și instituțiile publice centrale îmbunătățite pentru susținerea măsurilor/acțiunilor din cadrul acestui obiectiv specific</w:t>
            </w:r>
          </w:p>
        </w:tc>
        <w:tc>
          <w:tcPr>
            <w:tcW w:w="3402" w:type="dxa"/>
            <w:shd w:val="clear" w:color="000000" w:fill="FFFFFF"/>
            <w:noWrap/>
          </w:tcPr>
          <w:p w:rsidR="003C4FEB" w:rsidRPr="00774608" w:rsidRDefault="003C4FEB" w:rsidP="003C4FEB">
            <w:pPr>
              <w:spacing w:after="120" w:line="240" w:lineRule="auto"/>
              <w:jc w:val="both"/>
              <w:rPr>
                <w:rFonts w:cs="Calibri"/>
                <w:lang w:val="ro-RO" w:eastAsia="en-GB"/>
              </w:rPr>
            </w:pPr>
            <w:r w:rsidRPr="00774608">
              <w:rPr>
                <w:rFonts w:cs="Calibri"/>
                <w:b/>
                <w:lang w:val="ro-RO" w:eastAsia="en-GB"/>
              </w:rPr>
              <w:t>5S7</w:t>
            </w:r>
            <w:r w:rsidRPr="00774608">
              <w:rPr>
                <w:rFonts w:cs="Calibri"/>
                <w:lang w:val="ro-RO"/>
              </w:rPr>
              <w:t xml:space="preserve"> Personalul din autoritățile și instituțiile publice centrale care a fost certificat la încetarea calității de participant la formare legată de OS 1.1</w:t>
            </w:r>
          </w:p>
        </w:tc>
        <w:tc>
          <w:tcPr>
            <w:tcW w:w="3119" w:type="dxa"/>
            <w:shd w:val="clear" w:color="000000" w:fill="FFFFFF"/>
          </w:tcPr>
          <w:p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5S46</w:t>
            </w:r>
            <w:r w:rsidRPr="00774608">
              <w:rPr>
                <w:rFonts w:cs="Calibri"/>
                <w:sz w:val="22"/>
                <w:szCs w:val="22"/>
                <w:lang w:val="ro-RO" w:eastAsia="en-US"/>
              </w:rPr>
              <w:t xml:space="preserve"> Participanți la activități de formare legate de OS 1.1</w:t>
            </w:r>
          </w:p>
        </w:tc>
      </w:tr>
    </w:tbl>
    <w:p w:rsidR="00D02939" w:rsidRPr="00774608" w:rsidRDefault="00D02939" w:rsidP="00A17F94">
      <w:pPr>
        <w:spacing w:after="120" w:line="240" w:lineRule="auto"/>
        <w:jc w:val="both"/>
        <w:rPr>
          <w:rFonts w:cs="Calibri"/>
          <w:b/>
          <w:color w:val="000000"/>
          <w:lang w:val="ro-RO"/>
        </w:rPr>
      </w:pPr>
    </w:p>
    <w:p w:rsidR="0069093A" w:rsidRPr="00774608" w:rsidRDefault="00B10EA5" w:rsidP="00A17F94">
      <w:pPr>
        <w:spacing w:after="120" w:line="240" w:lineRule="auto"/>
        <w:jc w:val="both"/>
        <w:rPr>
          <w:rFonts w:cs="Calibri"/>
          <w:color w:val="000000"/>
          <w:lang w:val="ro-RO"/>
        </w:rPr>
      </w:pPr>
      <w:r w:rsidRPr="00774608">
        <w:rPr>
          <w:rFonts w:cs="Calibri"/>
          <w:b/>
          <w:color w:val="000000"/>
          <w:lang w:val="ro-RO"/>
        </w:rPr>
        <w:t>Descrierea indicatorilor:</w:t>
      </w:r>
    </w:p>
    <w:p w:rsidR="00D6443C" w:rsidRPr="00774608" w:rsidRDefault="00D6443C" w:rsidP="00443F4D">
      <w:pPr>
        <w:spacing w:after="120" w:line="240" w:lineRule="auto"/>
        <w:jc w:val="both"/>
        <w:rPr>
          <w:rFonts w:cs="Calibri"/>
          <w:b/>
          <w:lang w:val="ro-RO" w:eastAsia="en-GB"/>
        </w:rPr>
      </w:pPr>
      <w:bookmarkStart w:id="71" w:name="_Capitolul_3.2.4:_Tipuri"/>
      <w:bookmarkStart w:id="72" w:name="_Toc489006354"/>
      <w:bookmarkStart w:id="73" w:name="_Toc510173697"/>
      <w:bookmarkEnd w:id="71"/>
      <w:r w:rsidRPr="00774608">
        <w:rPr>
          <w:rFonts w:cs="Calibri"/>
          <w:b/>
          <w:lang w:val="ro-RO" w:eastAsia="en-GB"/>
        </w:rPr>
        <w:t>5S1</w:t>
      </w:r>
      <w:r w:rsidR="008601C6" w:rsidRPr="00774608">
        <w:rPr>
          <w:rFonts w:cs="Calibri"/>
          <w:b/>
          <w:lang w:val="ro-RO" w:eastAsia="en-GB"/>
        </w:rPr>
        <w:t xml:space="preserve"> Autorități și instituții publice centrale care au implementat planificarea strategică și bugetarea pe programe pe baza metodologiilor și instrumentelor unitare</w:t>
      </w:r>
    </w:p>
    <w:p w:rsidR="008601C6" w:rsidRPr="00774608" w:rsidRDefault="00A54943" w:rsidP="00443F4D">
      <w:pPr>
        <w:spacing w:after="120" w:line="240" w:lineRule="auto"/>
        <w:jc w:val="both"/>
        <w:rPr>
          <w:rFonts w:cs="Calibri"/>
          <w:b/>
          <w:lang w:val="ro-RO" w:eastAsia="en-GB"/>
        </w:rPr>
      </w:pPr>
      <w:r w:rsidRPr="00774608">
        <w:rPr>
          <w:rFonts w:cs="Calibri"/>
          <w:lang w:val="ro-RO"/>
        </w:rPr>
        <w:t>Indicatorul reprezintă numărul autorităților și instituțiilor publice centrale care, urmare a sprijinului direct în cadrul operațiunilor finanțate în contextul obiectivului specific 1.1, au implementat planificarea strategică și bugetarea pe programe, pe baza metodologiilor și instrumentele unitare stabilite în legislația națională</w:t>
      </w:r>
      <w:r w:rsidR="005C0E18" w:rsidRPr="00774608">
        <w:rPr>
          <w:rFonts w:cs="Calibri"/>
          <w:lang w:val="ro-RO"/>
        </w:rPr>
        <w:t>.</w:t>
      </w:r>
    </w:p>
    <w:p w:rsidR="00443F4D" w:rsidRPr="00774608" w:rsidRDefault="00443F4D" w:rsidP="00443F4D">
      <w:pPr>
        <w:spacing w:after="120" w:line="240" w:lineRule="auto"/>
        <w:jc w:val="both"/>
        <w:rPr>
          <w:rFonts w:cs="Calibri"/>
          <w:lang w:val="ro-RO"/>
        </w:rPr>
      </w:pPr>
      <w:r w:rsidRPr="00774608">
        <w:rPr>
          <w:rFonts w:cs="Calibri"/>
          <w:b/>
          <w:lang w:val="ro-RO" w:eastAsia="en-GB"/>
        </w:rPr>
        <w:t>5S2</w:t>
      </w:r>
      <w:r w:rsidRPr="00774608">
        <w:rPr>
          <w:rFonts w:cs="Calibri"/>
          <w:lang w:val="ro-RO"/>
        </w:rPr>
        <w:t xml:space="preserve"> </w:t>
      </w:r>
      <w:r w:rsidRPr="00774608">
        <w:rPr>
          <w:rFonts w:cs="Calibri"/>
          <w:b/>
          <w:lang w:val="ro-RO"/>
        </w:rPr>
        <w:t>Autorități și instituții publice centrale care au implementat sistemele unitare de management al calității și performanței</w:t>
      </w:r>
    </w:p>
    <w:p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autorităților și instituții publice centrale care, urmare a sprijinului direct în cadrul operațiunilor finanțate în contextul obiectivului specific 1.1, au implementat sistemele unitare de management al calității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 și managementul performanței.</w:t>
      </w:r>
    </w:p>
    <w:p w:rsidR="00443F4D" w:rsidRPr="00774608" w:rsidRDefault="00443F4D" w:rsidP="00443F4D">
      <w:pPr>
        <w:spacing w:after="120" w:line="240" w:lineRule="auto"/>
        <w:jc w:val="both"/>
        <w:rPr>
          <w:rFonts w:cs="Calibri"/>
          <w:b/>
          <w:lang w:val="ro-RO" w:eastAsia="en-GB"/>
        </w:rPr>
      </w:pPr>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rsidR="00443F4D" w:rsidRPr="00774608" w:rsidRDefault="00443F4D" w:rsidP="00443F4D">
      <w:pPr>
        <w:spacing w:after="120" w:line="240" w:lineRule="auto"/>
        <w:jc w:val="both"/>
        <w:rPr>
          <w:rFonts w:cs="Calibri"/>
          <w:lang w:val="ro-RO"/>
        </w:rPr>
      </w:pPr>
      <w:r w:rsidRPr="00774608">
        <w:rPr>
          <w:rFonts w:cs="Calibri"/>
          <w:b/>
          <w:lang w:val="ro-RO" w:eastAsia="en-GB"/>
        </w:rPr>
        <w:t>5S5</w:t>
      </w:r>
      <w:r w:rsidRPr="00774608">
        <w:rPr>
          <w:rFonts w:cs="Calibri"/>
          <w:lang w:val="ro-RO"/>
        </w:rPr>
        <w:t xml:space="preserve"> </w:t>
      </w:r>
      <w:r w:rsidRPr="00774608">
        <w:rPr>
          <w:rFonts w:cs="Calibri"/>
          <w:b/>
          <w:lang w:val="ro-RO"/>
        </w:rPr>
        <w:t>Autorități și instituții publice centrale care au implementat măsuri unitare de reducere a poverii administrative pentru mediul de afaceri și pentru cetățeni</w:t>
      </w:r>
    </w:p>
    <w:p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urmare a sprijinului direct în cadrul operațiunilor finanțate în contextul obiectivului specific 1.1 au implementat măsuri unitare de reducere a poverii administrative pentru cetățeni, stabilite în Planul integrat de simplificare a procedurilor pentru cetățeni și/sau măsuri unitare pentru reducerea poverii administrative pentru mediul de afaceri în conformitate cu prevederile Strategiei privind mai buna reglementare 2014-2020. </w:t>
      </w:r>
    </w:p>
    <w:p w:rsidR="00443F4D" w:rsidRPr="00774608" w:rsidRDefault="00443F4D" w:rsidP="00443F4D">
      <w:pPr>
        <w:spacing w:after="120" w:line="240" w:lineRule="auto"/>
        <w:jc w:val="both"/>
        <w:rPr>
          <w:rFonts w:cs="Calibri"/>
          <w:lang w:val="ro-RO"/>
        </w:rPr>
      </w:pPr>
      <w:r w:rsidRPr="00774608">
        <w:rPr>
          <w:rFonts w:cs="Calibri"/>
          <w:b/>
          <w:lang w:val="ro-RO" w:eastAsia="en-GB"/>
        </w:rPr>
        <w:lastRenderedPageBreak/>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rsidR="00443F4D" w:rsidRPr="00774608" w:rsidRDefault="00443F4D" w:rsidP="00443F4D">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443F4D" w:rsidRPr="00774608" w:rsidRDefault="00443F4D" w:rsidP="00E00D6C">
      <w:pPr>
        <w:numPr>
          <w:ilvl w:val="0"/>
          <w:numId w:val="39"/>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443F4D" w:rsidRPr="00774608" w:rsidRDefault="00443F4D" w:rsidP="00E00D6C">
      <w:pPr>
        <w:numPr>
          <w:ilvl w:val="0"/>
          <w:numId w:val="40"/>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rsidR="00443F4D" w:rsidRPr="00774608" w:rsidRDefault="00443F4D" w:rsidP="00443F4D">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rsidR="005C0E18" w:rsidRPr="00774608" w:rsidRDefault="005C0E18" w:rsidP="00443F4D">
      <w:pPr>
        <w:spacing w:after="120" w:line="240" w:lineRule="auto"/>
        <w:jc w:val="both"/>
        <w:rPr>
          <w:rFonts w:cs="Calibri"/>
          <w:b/>
          <w:lang w:val="ro-RO"/>
        </w:rPr>
      </w:pPr>
      <w:r w:rsidRPr="00774608">
        <w:rPr>
          <w:rFonts w:cs="Calibri"/>
          <w:b/>
          <w:lang w:val="ro-RO"/>
        </w:rPr>
        <w:t>5S38  Autorități și instituții publice centrale sprijinite pentru a introduce planificarea strategică și bugetarea pe programe</w:t>
      </w:r>
    </w:p>
    <w:p w:rsidR="00B72CC0" w:rsidRPr="00774608" w:rsidRDefault="00B72CC0"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sprijinite direct prin operațiuni care vizează introducerea planificării strategice și bugetării pe programe cu respectarea pe baza metodologiilor și instrumentele unitare stabilite în legislația națională. </w:t>
      </w:r>
    </w:p>
    <w:p w:rsidR="00443F4D" w:rsidRPr="00774608" w:rsidRDefault="00443F4D" w:rsidP="00443F4D">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w:t>
      </w:r>
      <w:r w:rsidRPr="00774608">
        <w:rPr>
          <w:rFonts w:cs="Calibri"/>
          <w:b/>
          <w:lang w:val="ro-RO"/>
        </w:rPr>
        <w:t>Autorități și instituții publice centrale sprijinite pentru a introduce sistemele unitare de management al calității și performanței</w:t>
      </w:r>
    </w:p>
    <w:p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sunt sprijinite direct prin operațiuni finanțate în cadrul obiectivului specific 1.1. pentru introducerea de sisteme unitare de management al calității și performanței prevăzute în Planul de acțiune pentru </w:t>
      </w:r>
      <w:proofErr w:type="spellStart"/>
      <w:r w:rsidRPr="00774608">
        <w:rPr>
          <w:rFonts w:cs="Calibri"/>
          <w:lang w:val="ro-RO"/>
        </w:rPr>
        <w:t>prioritizarea</w:t>
      </w:r>
      <w:proofErr w:type="spellEnd"/>
      <w:r w:rsidRPr="00774608">
        <w:rPr>
          <w:rFonts w:cs="Calibri"/>
          <w:lang w:val="ro-RO"/>
        </w:rPr>
        <w:t xml:space="preserve"> și etapizarea implementării managementului calității.</w:t>
      </w:r>
    </w:p>
    <w:p w:rsidR="00443F4D" w:rsidRPr="00774608" w:rsidRDefault="00443F4D" w:rsidP="00443F4D">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lastRenderedPageBreak/>
        <w:t>Indicatorul reprezintă numărul de metode, instrumente, proceduri dezvoltate de autoritățile publice centrale prin operațiuni finanțate în cadrul obiectivului specific 1.1 pentru a sprijini dezvoltarea la nivel local.</w:t>
      </w:r>
    </w:p>
    <w:p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rsidR="00443F4D" w:rsidRPr="00774608" w:rsidRDefault="00443F4D" w:rsidP="00443F4D">
      <w:pPr>
        <w:spacing w:after="120" w:line="240" w:lineRule="auto"/>
        <w:jc w:val="both"/>
        <w:rPr>
          <w:rFonts w:cs="Calibri"/>
          <w:b/>
          <w:lang w:val="ro-RO"/>
        </w:rPr>
      </w:pPr>
      <w:r w:rsidRPr="00774608">
        <w:rPr>
          <w:rFonts w:cs="Calibri"/>
          <w:b/>
          <w:lang w:val="ro-RO" w:eastAsia="en-GB"/>
        </w:rPr>
        <w:t>5S43</w:t>
      </w:r>
      <w:r w:rsidRPr="00774608">
        <w:rPr>
          <w:rFonts w:cs="Calibri"/>
          <w:b/>
          <w:lang w:val="ro-RO"/>
        </w:rPr>
        <w:t xml:space="preserve"> Autorități și instituții publice centrale sprijinite pentru a introduce măsuri unitare pentru reducerea poverii administrative pentru mediul de afaceri și pentru cetățeni</w:t>
      </w:r>
    </w:p>
    <w:p w:rsidR="00443F4D" w:rsidRPr="00774608" w:rsidRDefault="00443F4D" w:rsidP="00443F4D">
      <w:pPr>
        <w:spacing w:after="120" w:line="240" w:lineRule="auto"/>
        <w:jc w:val="both"/>
        <w:rPr>
          <w:rFonts w:cs="Calibri"/>
          <w:lang w:val="ro-RO"/>
        </w:rPr>
      </w:pPr>
      <w:r w:rsidRPr="00774608">
        <w:rPr>
          <w:rFonts w:cs="Calibri"/>
          <w:lang w:val="ro-RO"/>
        </w:rPr>
        <w:t>Indicatorul reprezintă numărul de autorități și instituții publice centrale care primesc sprijin direct prin operațiuni finanțate în cadrul obiectivului specific 1.1 pentru a introduce măsuri unitare pentru reducerea poverii administrative pentru mediul de afaceri și pentru cetățeni.</w:t>
      </w:r>
    </w:p>
    <w:p w:rsidR="00443F4D" w:rsidRPr="00774608" w:rsidRDefault="00443F4D" w:rsidP="00443F4D">
      <w:pPr>
        <w:spacing w:after="120" w:line="240" w:lineRule="auto"/>
        <w:jc w:val="both"/>
        <w:rPr>
          <w:rFonts w:cs="Calibri"/>
          <w:lang w:val="ro-RO"/>
        </w:rPr>
      </w:pPr>
      <w:r w:rsidRPr="00774608">
        <w:rPr>
          <w:rFonts w:cs="Calibri"/>
          <w:b/>
          <w:lang w:val="ro-RO" w:eastAsia="en-GB"/>
        </w:rPr>
        <w:t>5S46</w:t>
      </w:r>
      <w:r w:rsidRPr="00774608">
        <w:rPr>
          <w:rFonts w:cs="Calibri"/>
          <w:lang w:val="ro-RO"/>
        </w:rPr>
        <w:t xml:space="preserve"> </w:t>
      </w:r>
      <w:r w:rsidRPr="00774608">
        <w:rPr>
          <w:rFonts w:cs="Calibri"/>
          <w:b/>
          <w:lang w:val="ro-RO"/>
        </w:rPr>
        <w:t>Participanți la activități de formare legate de OS 1.1</w:t>
      </w:r>
    </w:p>
    <w:p w:rsidR="00443F4D" w:rsidRPr="00774608" w:rsidRDefault="00443F4D" w:rsidP="00443F4D">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beneficiază în mod direct de o intervenție din FSE, </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pot fi identificate în baza datelor furnizate, </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cărora li se pot solicita caracteristicile,</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pentru care sunt angajate cheltuieli specifice.</w:t>
      </w:r>
    </w:p>
    <w:p w:rsidR="00443F4D" w:rsidRPr="00774608" w:rsidRDefault="00443F4D" w:rsidP="00443F4D">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rsidR="00E235D8" w:rsidRPr="00774608" w:rsidRDefault="00443F4D" w:rsidP="00443F4D">
      <w:pPr>
        <w:pStyle w:val="Heading3"/>
        <w:spacing w:before="0" w:after="120" w:line="240" w:lineRule="auto"/>
        <w:jc w:val="both"/>
        <w:rPr>
          <w:rFonts w:ascii="Calibri" w:hAnsi="Calibri" w:cs="Calibri"/>
          <w:color w:val="000000"/>
          <w:sz w:val="22"/>
          <w:szCs w:val="22"/>
          <w:shd w:val="clear" w:color="auto" w:fill="FFFFFF"/>
          <w:lang w:val="ro-RO"/>
        </w:rPr>
      </w:pPr>
      <w:r w:rsidRPr="00774608">
        <w:rPr>
          <w:rFonts w:ascii="Calibri" w:hAnsi="Calibri" w:cs="Calibri"/>
          <w:color w:val="000000"/>
          <w:sz w:val="22"/>
          <w:szCs w:val="22"/>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5" w:history="1">
        <w:r w:rsidRPr="00774608">
          <w:rPr>
            <w:rStyle w:val="Hyperlink"/>
            <w:rFonts w:ascii="Calibri" w:hAnsi="Calibri" w:cs="Calibri"/>
            <w:sz w:val="22"/>
            <w:szCs w:val="22"/>
            <w:shd w:val="clear" w:color="auto" w:fill="FFFFFF"/>
            <w:lang w:val="ro-RO"/>
          </w:rPr>
          <w:t>http://ec.europa.eu/sfc/en/2014/support-ms/mon-guide</w:t>
        </w:r>
      </w:hyperlink>
      <w:r w:rsidRPr="00774608">
        <w:rPr>
          <w:rFonts w:ascii="Calibri" w:hAnsi="Calibri" w:cs="Calibri"/>
          <w:color w:val="000000"/>
          <w:sz w:val="22"/>
          <w:szCs w:val="22"/>
          <w:shd w:val="clear" w:color="auto" w:fill="FFFFFF"/>
          <w:lang w:val="ro-RO"/>
        </w:rPr>
        <w:t xml:space="preserve">.  </w:t>
      </w:r>
    </w:p>
    <w:p w:rsidR="00E235D8" w:rsidRPr="00774608" w:rsidRDefault="00E235D8" w:rsidP="00443F4D">
      <w:pPr>
        <w:pStyle w:val="Heading3"/>
        <w:spacing w:before="0" w:after="120" w:line="240" w:lineRule="auto"/>
        <w:jc w:val="both"/>
        <w:rPr>
          <w:rFonts w:ascii="Calibri" w:hAnsi="Calibri" w:cs="Calibri"/>
          <w:color w:val="auto"/>
          <w:sz w:val="22"/>
          <w:szCs w:val="22"/>
          <w:lang w:val="ro-RO"/>
        </w:rPr>
      </w:pPr>
    </w:p>
    <w:p w:rsidR="00F876E3" w:rsidRPr="00774608" w:rsidRDefault="00F876E3" w:rsidP="00443F4D">
      <w:pPr>
        <w:pStyle w:val="Heading3"/>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Capitolul 3.2.4: Tipuri de acțiuni orientative</w:t>
      </w:r>
      <w:bookmarkEnd w:id="72"/>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3"/>
      <w:r w:rsidR="002E4525" w:rsidRPr="00774608">
        <w:rPr>
          <w:rFonts w:ascii="Calibri" w:hAnsi="Calibri" w:cs="Calibri"/>
          <w:color w:val="auto"/>
          <w:sz w:val="22"/>
          <w:szCs w:val="22"/>
          <w:lang w:val="ro-RO"/>
        </w:rPr>
        <w:t xml:space="preserve"> </w:t>
      </w:r>
    </w:p>
    <w:p w:rsidR="002E4525" w:rsidRPr="00774608" w:rsidRDefault="002E4525" w:rsidP="00E00D6C">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rsidR="00F876E3" w:rsidRPr="00774608" w:rsidRDefault="00F876E3" w:rsidP="00A17F94">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rsidR="0008019C" w:rsidRPr="00774608" w:rsidRDefault="0008019C" w:rsidP="0008019C">
      <w:pPr>
        <w:spacing w:before="240" w:after="240"/>
        <w:jc w:val="both"/>
        <w:rPr>
          <w:rFonts w:cs="Calibri"/>
          <w:lang w:val="ro-RO"/>
        </w:rPr>
      </w:pPr>
      <w:r w:rsidRPr="00774608">
        <w:rPr>
          <w:rFonts w:cs="Calibri"/>
          <w:b/>
          <w:bCs/>
          <w:lang w:val="ro-RO"/>
        </w:rPr>
        <w:t>Planificarea strategică și bugetarea pe programe la nivel central:</w:t>
      </w:r>
    </w:p>
    <w:p w:rsidR="0008019C" w:rsidRPr="00774608" w:rsidRDefault="0008019C" w:rsidP="0008019C">
      <w:pPr>
        <w:numPr>
          <w:ilvl w:val="0"/>
          <w:numId w:val="41"/>
        </w:numPr>
        <w:spacing w:before="240" w:after="0" w:line="240" w:lineRule="auto"/>
        <w:ind w:hanging="210"/>
        <w:jc w:val="both"/>
        <w:rPr>
          <w:rFonts w:cs="Calibri"/>
          <w:lang w:val="ro-RO"/>
        </w:rPr>
      </w:pPr>
      <w:r w:rsidRPr="00774608">
        <w:rPr>
          <w:rFonts w:cs="Calibri"/>
          <w:lang w:val="ro-RO"/>
        </w:rPr>
        <w:t>elaborarea, actualizarea procedurilor, metodologiilor privind planificarea strategică și bugetarea pe programe</w:t>
      </w:r>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elaborarea documentelor strategice la nivelul ministerelor prioritare enumerate în AP 2014-2020 și a instituțiilor publice care au în responsabilitate condiționalități ex-ante</w:t>
      </w:r>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susținere</w:t>
      </w:r>
      <w:r w:rsidR="00C86C73">
        <w:rPr>
          <w:rFonts w:cs="Calibri"/>
          <w:lang w:val="ro-RO"/>
        </w:rPr>
        <w:t>a</w:t>
      </w:r>
      <w:r w:rsidRPr="00774608">
        <w:rPr>
          <w:rFonts w:cs="Calibri"/>
          <w:lang w:val="ro-RO"/>
        </w:rPr>
        <w:t xml:space="preserve"> implementării bugetării pe programe în special la nivelul ministerelor prioritare enumerate în AP 2014-2020</w:t>
      </w:r>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 xml:space="preserve">dezvoltarea și implementarea de mecanisme de coordonare în cadrul și între diferitele niveluri administrative, de cooperare și consultare între actorii </w:t>
      </w:r>
      <w:proofErr w:type="spellStart"/>
      <w:r w:rsidRPr="00774608">
        <w:rPr>
          <w:rFonts w:cs="Calibri"/>
          <w:lang w:val="ro-RO"/>
        </w:rPr>
        <w:t>relevanţi</w:t>
      </w:r>
      <w:proofErr w:type="spellEnd"/>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dezvoltarea de instrumente/mecanisme pentru eficientizarea cheltuielilor publice și a sistemului de colectare a veniturilor și taxelor</w:t>
      </w:r>
      <w:r w:rsidR="00BB793A" w:rsidRPr="00774608">
        <w:rPr>
          <w:rFonts w:cs="Calibri"/>
          <w:lang w:val="ro-RO"/>
        </w:rPr>
        <w:t>;</w:t>
      </w:r>
    </w:p>
    <w:p w:rsidR="0008019C" w:rsidRPr="00774608" w:rsidRDefault="0008019C" w:rsidP="0008019C">
      <w:pPr>
        <w:spacing w:before="240" w:after="240"/>
        <w:jc w:val="both"/>
        <w:rPr>
          <w:rFonts w:cs="Calibri"/>
          <w:lang w:val="ro-RO"/>
        </w:rPr>
      </w:pPr>
      <w:r w:rsidRPr="00774608">
        <w:rPr>
          <w:rFonts w:cs="Calibri"/>
          <w:b/>
          <w:bCs/>
          <w:lang w:val="ro-RO"/>
        </w:rPr>
        <w:lastRenderedPageBreak/>
        <w:t xml:space="preserve">Dezvoltarea de sisteme și instrumente de management: </w:t>
      </w:r>
    </w:p>
    <w:p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stabilirea și implementarea acțiunilor necesare consolidării cadrului legislativ pentru implementarea managementului calității la nivelul administrației publice</w:t>
      </w:r>
      <w:r w:rsidR="00BB793A" w:rsidRPr="00774608">
        <w:rPr>
          <w:rFonts w:cs="Calibri"/>
          <w:lang w:val="ro-RO"/>
        </w:rPr>
        <w:t>;</w:t>
      </w:r>
    </w:p>
    <w:p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 xml:space="preserve"> </w:t>
      </w:r>
      <w:r w:rsidR="005251FA" w:rsidRPr="00774608">
        <w:rPr>
          <w:rFonts w:cs="Calibri"/>
          <w:lang w:val="ro-RO"/>
        </w:rPr>
        <w:t>implementarea managementului calității și performanței în cadrul autorităților și instituțiilor publice centrale</w:t>
      </w:r>
      <w:r w:rsidR="007C1414" w:rsidRPr="00774608">
        <w:rPr>
          <w:rFonts w:cs="Calibri"/>
          <w:lang w:val="ro-RO"/>
        </w:rPr>
        <w:t>,</w:t>
      </w:r>
      <w:r w:rsidR="005251FA" w:rsidRPr="00774608">
        <w:rPr>
          <w:rFonts w:cs="Calibri"/>
          <w:lang w:val="ro-RO"/>
        </w:rPr>
        <w:t xml:space="preserve"> </w:t>
      </w:r>
      <w:r w:rsidR="007C1414" w:rsidRPr="00774608">
        <w:rPr>
          <w:rFonts w:eastAsia="MS Mincho" w:cs="Calibri"/>
          <w:bCs/>
          <w:color w:val="000000"/>
          <w:lang w:val="ro-RO"/>
        </w:rPr>
        <w:t xml:space="preserve">respectiv </w:t>
      </w:r>
      <w:r w:rsidR="007C1414" w:rsidRPr="00774608">
        <w:rPr>
          <w:rFonts w:cs="Calibri"/>
          <w:lang w:val="ro-RO"/>
        </w:rPr>
        <w:t>CAF și/sau ISO 9001; CAF și BSC; ISO 9001 și BSC; CAF, ISO 9001 și BSC</w:t>
      </w:r>
      <w:r w:rsidR="005251FA" w:rsidRPr="00774608">
        <w:rPr>
          <w:rFonts w:cs="Calibri"/>
          <w:lang w:val="ro-RO"/>
        </w:rPr>
        <w:t>;</w:t>
      </w:r>
    </w:p>
    <w:p w:rsidR="0008019C" w:rsidRPr="00774608" w:rsidRDefault="0008019C" w:rsidP="0008019C">
      <w:pPr>
        <w:numPr>
          <w:ilvl w:val="0"/>
          <w:numId w:val="42"/>
        </w:numPr>
        <w:spacing w:after="0" w:line="240" w:lineRule="auto"/>
        <w:ind w:hanging="210"/>
        <w:jc w:val="both"/>
        <w:rPr>
          <w:rFonts w:cs="Calibri"/>
          <w:lang w:val="ro-RO"/>
        </w:rPr>
      </w:pPr>
      <w:r w:rsidRPr="00774608">
        <w:rPr>
          <w:rFonts w:cs="Calibri"/>
          <w:lang w:val="ro-RO"/>
        </w:rPr>
        <w:t>realizarea de analize, studii în vederea identificării și dezvoltării de mecanisme și instrumente de îmbunătățire a proceselor decizionale</w:t>
      </w:r>
      <w:r w:rsidR="00BB793A" w:rsidRPr="00774608">
        <w:rPr>
          <w:rFonts w:cs="Calibri"/>
          <w:lang w:val="ro-RO"/>
        </w:rPr>
        <w:t>;</w:t>
      </w:r>
    </w:p>
    <w:p w:rsidR="0008019C" w:rsidRPr="00774608" w:rsidRDefault="0008019C" w:rsidP="0008019C">
      <w:pPr>
        <w:numPr>
          <w:ilvl w:val="0"/>
          <w:numId w:val="42"/>
        </w:numPr>
        <w:spacing w:after="240" w:line="240" w:lineRule="auto"/>
        <w:ind w:hanging="210"/>
        <w:jc w:val="both"/>
        <w:rPr>
          <w:rFonts w:cs="Calibri"/>
          <w:lang w:val="ro-RO"/>
        </w:rPr>
      </w:pPr>
      <w:r w:rsidRPr="00774608">
        <w:rPr>
          <w:rFonts w:cs="Calibri"/>
          <w:lang w:val="ro-RO"/>
        </w:rPr>
        <w:t xml:space="preserve">realizarea de ghiduri, manuale, organizarea de acțiuni de identificare, promovare și diseminare a bunelor practici (ex. </w:t>
      </w:r>
      <w:proofErr w:type="spellStart"/>
      <w:r w:rsidRPr="00774608">
        <w:rPr>
          <w:rFonts w:cs="Calibri"/>
          <w:lang w:val="ro-RO"/>
        </w:rPr>
        <w:t>benchmarking</w:t>
      </w:r>
      <w:proofErr w:type="spellEnd"/>
      <w:r w:rsidRPr="00774608">
        <w:rPr>
          <w:rFonts w:cs="Calibri"/>
          <w:lang w:val="ro-RO"/>
        </w:rPr>
        <w:t>/</w:t>
      </w:r>
      <w:proofErr w:type="spellStart"/>
      <w:r w:rsidRPr="00774608">
        <w:rPr>
          <w:rFonts w:cs="Calibri"/>
          <w:lang w:val="ro-RO"/>
        </w:rPr>
        <w:t>bench-learning</w:t>
      </w:r>
      <w:proofErr w:type="spellEnd"/>
      <w:r w:rsidRPr="00774608">
        <w:rPr>
          <w:rFonts w:cs="Calibri"/>
          <w:lang w:val="ro-RO"/>
        </w:rPr>
        <w:t xml:space="preserve">), a inovării și </w:t>
      </w:r>
      <w:proofErr w:type="spellStart"/>
      <w:r w:rsidRPr="00774608">
        <w:rPr>
          <w:rFonts w:cs="Calibri"/>
          <w:lang w:val="ro-RO"/>
        </w:rPr>
        <w:t>networking</w:t>
      </w:r>
      <w:proofErr w:type="spellEnd"/>
      <w:r w:rsidRPr="00774608">
        <w:rPr>
          <w:rFonts w:cs="Calibri"/>
          <w:lang w:val="ro-RO"/>
        </w:rPr>
        <w:t>-ului în administrația publică</w:t>
      </w:r>
    </w:p>
    <w:p w:rsidR="0008019C" w:rsidRPr="00774608" w:rsidRDefault="0008019C" w:rsidP="007C1414">
      <w:pPr>
        <w:spacing w:before="240" w:after="240"/>
        <w:jc w:val="both"/>
        <w:rPr>
          <w:rFonts w:cs="Calibri"/>
          <w:lang w:val="ro-RO"/>
        </w:rPr>
      </w:pPr>
      <w:r w:rsidRPr="00774608">
        <w:rPr>
          <w:rFonts w:cs="Calibri"/>
          <w:b/>
          <w:bCs/>
          <w:lang w:val="ro-RO"/>
        </w:rPr>
        <w:t>Îmbunătățirea politicilor publice și creșterea calității reglementărilor</w:t>
      </w:r>
    </w:p>
    <w:p w:rsidR="0008019C" w:rsidRPr="00774608" w:rsidRDefault="0008019C" w:rsidP="0008019C">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elaborarea de mecanisme de </w:t>
      </w:r>
      <w:r w:rsidR="00171ACA" w:rsidRPr="00774608">
        <w:rPr>
          <w:rFonts w:cs="Calibri"/>
          <w:lang w:val="ro-RO"/>
        </w:rPr>
        <w:t>coordonare, monitorizare</w:t>
      </w:r>
      <w:r w:rsidRPr="00774608">
        <w:rPr>
          <w:rFonts w:cs="Calibri"/>
          <w:lang w:val="ro-RO"/>
        </w:rPr>
        <w:t xml:space="preserve"> și evaluare a exercitării competențelor autorităților și instituțiilor publice</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r w:rsidR="00171ACA" w:rsidRPr="00774608">
        <w:rPr>
          <w:rFonts w:cs="Calibri"/>
          <w:lang w:val="ro-RO"/>
        </w:rPr>
        <w:t>;</w:t>
      </w:r>
    </w:p>
    <w:p w:rsidR="0008019C" w:rsidRPr="00774608" w:rsidRDefault="0008019C" w:rsidP="0008019C">
      <w:pPr>
        <w:spacing w:before="240" w:after="240"/>
        <w:jc w:val="both"/>
        <w:rPr>
          <w:rFonts w:cs="Calibri"/>
          <w:lang w:val="ro-RO"/>
        </w:rPr>
      </w:pPr>
      <w:r w:rsidRPr="00774608">
        <w:rPr>
          <w:rFonts w:cs="Calibri"/>
          <w:b/>
          <w:bCs/>
          <w:lang w:val="ro-RO"/>
        </w:rPr>
        <w:t>Simplificarea procedurilor administrative și reducerea birocrației pentru cetățeni și mediul de afaceri:</w:t>
      </w:r>
    </w:p>
    <w:p w:rsidR="0008019C" w:rsidRPr="00774608" w:rsidRDefault="0008019C" w:rsidP="0008019C">
      <w:pPr>
        <w:spacing w:before="240" w:after="240"/>
        <w:jc w:val="both"/>
        <w:rPr>
          <w:rFonts w:cs="Calibri"/>
          <w:lang w:val="ro-RO"/>
        </w:rPr>
      </w:pPr>
      <w:r w:rsidRPr="00774608">
        <w:rPr>
          <w:rFonts w:cs="Calibri"/>
          <w:b/>
          <w:bCs/>
          <w:lang w:val="ro-RO"/>
        </w:rPr>
        <w:t>a. simplificarea poverii administrative ce afectează mediul de afaceri</w:t>
      </w:r>
    </w:p>
    <w:p w:rsidR="0008019C" w:rsidRPr="00774608" w:rsidRDefault="0008019C" w:rsidP="0008019C">
      <w:pPr>
        <w:numPr>
          <w:ilvl w:val="0"/>
          <w:numId w:val="44"/>
        </w:numPr>
        <w:spacing w:before="240" w:after="0" w:line="240" w:lineRule="auto"/>
        <w:ind w:hanging="210"/>
        <w:jc w:val="both"/>
        <w:rPr>
          <w:rFonts w:cs="Calibri"/>
          <w:lang w:val="ro-RO"/>
        </w:rPr>
      </w:pPr>
      <w:r w:rsidRPr="00774608">
        <w:rPr>
          <w:rFonts w:cs="Calibri"/>
          <w:lang w:val="ro-RO"/>
        </w:rPr>
        <w:t xml:space="preserve">continuarea reducerii sarcinilor administrative prin simplificarea legislației aferente domeniilor: </w:t>
      </w:r>
      <w:r w:rsidRPr="00774608">
        <w:rPr>
          <w:rFonts w:cs="Calibri"/>
          <w:i/>
          <w:iCs/>
          <w:lang w:val="ro-RO"/>
        </w:rPr>
        <w:t>muncă</w:t>
      </w:r>
      <w:r w:rsidRPr="00774608">
        <w:rPr>
          <w:rFonts w:cs="Calibri"/>
          <w:lang w:val="ro-RO"/>
        </w:rPr>
        <w:t xml:space="preserve"> (forță de muncă, legislația muncii, pensii și asigurări sociale, securitate și sănătate în muncă), </w:t>
      </w:r>
      <w:r w:rsidRPr="00774608">
        <w:rPr>
          <w:rFonts w:cs="Calibri"/>
          <w:i/>
          <w:iCs/>
          <w:lang w:val="ro-RO"/>
        </w:rPr>
        <w:t>sănătate</w:t>
      </w:r>
      <w:r w:rsidRPr="00774608">
        <w:rPr>
          <w:rFonts w:cs="Calibri"/>
          <w:lang w:val="ro-RO"/>
        </w:rPr>
        <w:t xml:space="preserve"> (</w:t>
      </w:r>
      <w:proofErr w:type="spellStart"/>
      <w:r w:rsidRPr="00774608">
        <w:rPr>
          <w:rFonts w:cs="Calibri"/>
          <w:lang w:val="ro-RO"/>
        </w:rPr>
        <w:t>farma</w:t>
      </w:r>
      <w:proofErr w:type="spellEnd"/>
      <w:r w:rsidRPr="00774608">
        <w:rPr>
          <w:rFonts w:cs="Calibri"/>
          <w:lang w:val="ro-RO"/>
        </w:rPr>
        <w:t xml:space="preserve">, autorizare, inspecție sanitară), </w:t>
      </w:r>
      <w:r w:rsidRPr="00774608">
        <w:rPr>
          <w:rFonts w:cs="Calibri"/>
          <w:i/>
          <w:iCs/>
          <w:lang w:val="ro-RO"/>
        </w:rPr>
        <w:t>educație, mediu</w:t>
      </w:r>
      <w:r w:rsidRPr="00774608">
        <w:rPr>
          <w:rFonts w:cs="Calibri"/>
          <w:lang w:val="ro-RO"/>
        </w:rPr>
        <w:t xml:space="preserve"> (schimbări climatice, silvicultură), </w:t>
      </w:r>
      <w:r w:rsidRPr="00774608">
        <w:rPr>
          <w:rFonts w:cs="Calibri"/>
          <w:i/>
          <w:iCs/>
          <w:lang w:val="ro-RO"/>
        </w:rPr>
        <w:t>justiție</w:t>
      </w:r>
      <w:r w:rsidRPr="00774608">
        <w:rPr>
          <w:rFonts w:cs="Calibri"/>
          <w:lang w:val="ro-RO"/>
        </w:rPr>
        <w:t xml:space="preserve"> (registrul comerțului, profesii liberale), </w:t>
      </w:r>
      <w:r w:rsidRPr="00774608">
        <w:rPr>
          <w:rFonts w:cs="Calibri"/>
          <w:i/>
          <w:iCs/>
          <w:lang w:val="ro-RO"/>
        </w:rPr>
        <w:t>administrare fiscală, vamă, construcții</w:t>
      </w:r>
      <w:r w:rsidR="00435E7E" w:rsidRPr="00774608">
        <w:rPr>
          <w:rFonts w:cs="Calibri"/>
          <w:i/>
          <w:iCs/>
          <w:lang w:val="ro-RO"/>
        </w:rPr>
        <w:t>;</w:t>
      </w:r>
    </w:p>
    <w:p w:rsidR="009C55EC" w:rsidRPr="00774608" w:rsidRDefault="009C55EC" w:rsidP="00A51719">
      <w:pPr>
        <w:numPr>
          <w:ilvl w:val="0"/>
          <w:numId w:val="44"/>
        </w:numPr>
        <w:spacing w:after="0" w:line="240" w:lineRule="auto"/>
        <w:ind w:hanging="210"/>
        <w:jc w:val="both"/>
        <w:rPr>
          <w:rFonts w:cs="Calibri"/>
          <w:lang w:val="ro-RO"/>
        </w:rPr>
      </w:pPr>
      <w:r w:rsidRPr="00774608">
        <w:rPr>
          <w:rFonts w:cs="Calibri"/>
          <w:lang w:val="ro-RO"/>
        </w:rPr>
        <w:t>măsurarea costurilor administrative generate pentru mediul de afaceri de către autoritățile din subordinea/coordonarea SGG și a Parlamentului, care nu au fost in dezvoltarea și implementarea de noi instrumente de măsurare și reducere a birocrației (depistarea poverilor administrative, măsurarea costurilor de conformare, ghilotina reglementărilor) incluse în măsurători anterioare;</w:t>
      </w:r>
    </w:p>
    <w:p w:rsidR="0008019C" w:rsidRPr="00774608" w:rsidRDefault="0008019C" w:rsidP="00A51719">
      <w:pPr>
        <w:numPr>
          <w:ilvl w:val="0"/>
          <w:numId w:val="45"/>
        </w:numPr>
        <w:spacing w:after="0" w:line="240" w:lineRule="auto"/>
        <w:ind w:hanging="210"/>
        <w:jc w:val="both"/>
        <w:rPr>
          <w:rFonts w:cs="Calibri"/>
          <w:lang w:val="ro-RO"/>
        </w:rPr>
      </w:pPr>
      <w:r w:rsidRPr="00774608">
        <w:rPr>
          <w:rFonts w:cs="Calibri"/>
          <w:lang w:val="ro-RO"/>
        </w:rPr>
        <w:t>dezvoltarea și implementarea de noi instrumente de măsurare și reducere a birocrației (depistarea poverilor administrative, măsurarea costurilor de conformare, ghilotina reglementărilor)</w:t>
      </w:r>
      <w:r w:rsidR="009C55EC" w:rsidRPr="00774608">
        <w:rPr>
          <w:rFonts w:cs="Calibri"/>
          <w:lang w:val="ro-RO"/>
        </w:rPr>
        <w:t>;</w:t>
      </w:r>
    </w:p>
    <w:p w:rsidR="0008019C" w:rsidRPr="00774608" w:rsidRDefault="0008019C" w:rsidP="0008019C">
      <w:pPr>
        <w:spacing w:before="240" w:after="240"/>
        <w:jc w:val="both"/>
        <w:rPr>
          <w:rFonts w:cs="Calibri"/>
          <w:lang w:val="ro-RO"/>
        </w:rPr>
      </w:pPr>
      <w:r w:rsidRPr="00774608">
        <w:rPr>
          <w:rFonts w:cs="Calibri"/>
          <w:b/>
          <w:bCs/>
          <w:lang w:val="ro-RO"/>
        </w:rPr>
        <w:t>b. simplificarea procedurilor administrative pentru cetățeni:</w:t>
      </w:r>
    </w:p>
    <w:p w:rsidR="003251B3"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implementarea măsurilor ce vizează capacitatea administrativă din Planul Integrat pentru Simplificarea procedurilor administrative aplicabile cetățenilor (în concordanță cu SCAP); </w:t>
      </w:r>
    </w:p>
    <w:p w:rsidR="0008019C"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realizarea de analize pentru a identifica serviciile publice care pot fi furnizate într-o manieră integrată (ex. </w:t>
      </w:r>
      <w:proofErr w:type="spellStart"/>
      <w:r w:rsidRPr="00774608">
        <w:rPr>
          <w:rFonts w:cs="Calibri"/>
          <w:lang w:val="ro-RO"/>
        </w:rPr>
        <w:t>one</w:t>
      </w:r>
      <w:proofErr w:type="spellEnd"/>
      <w:r w:rsidRPr="00774608">
        <w:rPr>
          <w:rFonts w:cs="Calibri"/>
          <w:lang w:val="ro-RO"/>
        </w:rPr>
        <w:t>-stop-shop) la nivel de sector și/sau la nivel administrativ</w:t>
      </w:r>
      <w:r w:rsidR="00700C7C" w:rsidRPr="00774608">
        <w:rPr>
          <w:rFonts w:cs="Calibri"/>
          <w:lang w:val="ro-RO"/>
        </w:rPr>
        <w:t>;</w:t>
      </w:r>
    </w:p>
    <w:p w:rsidR="0008019C" w:rsidRDefault="0008019C" w:rsidP="0008019C">
      <w:pPr>
        <w:spacing w:before="240" w:after="240"/>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w:t>
      </w:r>
      <w:r w:rsidRPr="00774608">
        <w:rPr>
          <w:rFonts w:cs="Calibri"/>
          <w:lang w:val="ro-RO"/>
        </w:rPr>
        <w:lastRenderedPageBreak/>
        <w:t>specific; schimburi de experiență/</w:t>
      </w:r>
      <w:proofErr w:type="spellStart"/>
      <w:r w:rsidRPr="00774608">
        <w:rPr>
          <w:rFonts w:cs="Calibri"/>
          <w:lang w:val="ro-RO"/>
        </w:rPr>
        <w:t>networking</w:t>
      </w:r>
      <w:proofErr w:type="spellEnd"/>
      <w:r w:rsidRPr="00774608">
        <w:rPr>
          <w:rFonts w:cs="Calibri"/>
          <w:lang w:val="ro-RO"/>
        </w:rPr>
        <w:t xml:space="preserve"> cu autorități/instituții/organisme ale administrațiilor publice naționale și internaționale</w:t>
      </w:r>
      <w:r w:rsidR="00744F0B">
        <w:rPr>
          <w:rFonts w:cs="Calibri"/>
          <w:lang w:val="ro-RO"/>
        </w:rPr>
        <w:t>.</w:t>
      </w:r>
    </w:p>
    <w:p w:rsidR="00744F0B" w:rsidRDefault="00744F0B" w:rsidP="00744F0B">
      <w:pPr>
        <w:spacing w:after="120" w:line="240" w:lineRule="auto"/>
        <w:jc w:val="both"/>
        <w:rPr>
          <w:rFonts w:cs="Arial"/>
          <w:bCs/>
          <w:noProof/>
          <w:lang w:val="ro-RO"/>
        </w:rPr>
      </w:pPr>
      <w:r>
        <w:rPr>
          <w:rFonts w:cs="Arial"/>
          <w:bCs/>
          <w:noProof/>
          <w:lang w:val="ro-RO"/>
        </w:rPr>
        <w:t>Facem precizarea că</w:t>
      </w:r>
      <w:r w:rsidRPr="00F323DF">
        <w:rPr>
          <w:rFonts w:cs="Arial"/>
          <w:bCs/>
          <w:noProof/>
          <w:lang w:val="ro-RO"/>
        </w:rPr>
        <w:t xml:space="preserve"> AM POCA finanțează, în cadrul </w:t>
      </w:r>
      <w:r>
        <w:rPr>
          <w:rFonts w:cs="Arial"/>
          <w:bCs/>
          <w:noProof/>
          <w:lang w:val="ro-RO"/>
        </w:rPr>
        <w:t>apelurilor de proiecte IP1/2015, IP3/2016</w:t>
      </w:r>
      <w:r w:rsidR="00055F01">
        <w:rPr>
          <w:rFonts w:cs="Arial"/>
          <w:bCs/>
          <w:noProof/>
          <w:lang w:val="ro-RO"/>
        </w:rPr>
        <w:t xml:space="preserve"> și IP8/2017</w:t>
      </w:r>
      <w:r w:rsidR="00963D57">
        <w:rPr>
          <w:rFonts w:cs="Arial"/>
          <w:bCs/>
          <w:noProof/>
          <w:lang w:val="ro-RO"/>
        </w:rPr>
        <w:t>,</w:t>
      </w:r>
      <w:r w:rsidRPr="00F323DF">
        <w:rPr>
          <w:rFonts w:cs="Arial"/>
          <w:bCs/>
          <w:noProof/>
          <w:lang w:val="ro-RO"/>
        </w:rPr>
        <w:t xml:space="preserve"> proiecte naționale </w:t>
      </w:r>
      <w:r w:rsidR="00751187">
        <w:rPr>
          <w:rFonts w:cs="Arial"/>
          <w:bCs/>
          <w:noProof/>
          <w:lang w:val="ro-RO"/>
        </w:rPr>
        <w:t>ce vizează</w:t>
      </w:r>
      <w:r w:rsidR="00751187" w:rsidRPr="00751187">
        <w:t xml:space="preserve"> </w:t>
      </w:r>
      <w:r w:rsidR="00751187" w:rsidRPr="00751187">
        <w:rPr>
          <w:rFonts w:cs="Arial"/>
          <w:bCs/>
          <w:noProof/>
          <w:lang w:val="ro-RO"/>
        </w:rPr>
        <w:t>sprijini</w:t>
      </w:r>
      <w:r w:rsidR="00751187">
        <w:rPr>
          <w:rFonts w:cs="Arial"/>
          <w:bCs/>
          <w:noProof/>
          <w:lang w:val="ro-RO"/>
        </w:rPr>
        <w:t>rea</w:t>
      </w:r>
      <w:r w:rsidR="00751187" w:rsidRPr="00751187">
        <w:rPr>
          <w:rFonts w:cs="Arial"/>
          <w:bCs/>
          <w:noProof/>
          <w:lang w:val="ro-RO"/>
        </w:rPr>
        <w:t xml:space="preserve"> autoritățil</w:t>
      </w:r>
      <w:r w:rsidR="00751187">
        <w:rPr>
          <w:rFonts w:cs="Arial"/>
          <w:bCs/>
          <w:noProof/>
          <w:lang w:val="ro-RO"/>
        </w:rPr>
        <w:t>or</w:t>
      </w:r>
      <w:r w:rsidR="00751187" w:rsidRPr="00751187">
        <w:rPr>
          <w:rFonts w:cs="Arial"/>
          <w:bCs/>
          <w:noProof/>
          <w:lang w:val="ro-RO"/>
        </w:rPr>
        <w:t xml:space="preserve"> și instituțiil</w:t>
      </w:r>
      <w:r w:rsidR="00751187">
        <w:rPr>
          <w:rFonts w:cs="Arial"/>
          <w:bCs/>
          <w:noProof/>
          <w:lang w:val="ro-RO"/>
        </w:rPr>
        <w:t>or</w:t>
      </w:r>
      <w:r w:rsidR="00751187" w:rsidRPr="00751187">
        <w:rPr>
          <w:rFonts w:cs="Arial"/>
          <w:bCs/>
          <w:noProof/>
          <w:lang w:val="ro-RO"/>
        </w:rPr>
        <w:t xml:space="preserve"> publice</w:t>
      </w:r>
      <w:r w:rsidR="00751187">
        <w:rPr>
          <w:rFonts w:cs="Arial"/>
          <w:bCs/>
          <w:noProof/>
          <w:lang w:val="ro-RO"/>
        </w:rPr>
        <w:t xml:space="preserve"> centrale</w:t>
      </w:r>
      <w:r w:rsidR="00751187" w:rsidRPr="00751187">
        <w:rPr>
          <w:rFonts w:cs="Arial"/>
          <w:bCs/>
          <w:noProof/>
          <w:lang w:val="ro-RO"/>
        </w:rPr>
        <w:t xml:space="preserve"> pentru implementarea unitară a managementului calității și performanței, implementarea măsurilor de simplificare pentru cetățeni, de sistematizare și simplificare a fondului activ al legislației, de reducere a poverii administrative pentru mediul de afaceri, de creare a cadrului pentru dezvoltarea la nivel local.</w:t>
      </w:r>
      <w:r w:rsidR="00751187">
        <w:rPr>
          <w:rFonts w:cs="Arial"/>
          <w:bCs/>
          <w:noProof/>
          <w:lang w:val="ro-RO"/>
        </w:rPr>
        <w:t xml:space="preserve"> </w:t>
      </w:r>
      <w:r w:rsidRPr="00F323DF">
        <w:rPr>
          <w:rFonts w:cs="Arial"/>
          <w:bCs/>
          <w:noProof/>
          <w:lang w:val="ro-RO"/>
        </w:rPr>
        <w:t xml:space="preserve">Mai multe detalii privind proiectele sprijinite prin program se regăsesc în Lista operațiunilor, la adresa </w:t>
      </w:r>
      <w:hyperlink r:id="rId16" w:history="1">
        <w:r w:rsidRPr="00AA299A">
          <w:rPr>
            <w:rStyle w:val="Hyperlink"/>
            <w:rFonts w:cs="Arial"/>
            <w:noProof/>
            <w:lang w:val="ro-RO"/>
          </w:rPr>
          <w:t>http://poca.ro/cadru-strategic/lista-operatiunilor-selectate-si-finantate/</w:t>
        </w:r>
      </w:hyperlink>
      <w:r w:rsidRPr="00F323DF">
        <w:rPr>
          <w:rFonts w:cs="Arial"/>
          <w:bCs/>
          <w:noProof/>
          <w:lang w:val="ro-RO"/>
        </w:rPr>
        <w:t>.</w:t>
      </w:r>
    </w:p>
    <w:p w:rsidR="002E4525" w:rsidRPr="00774608" w:rsidRDefault="002E4525" w:rsidP="0008019C">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rsidR="00674F77" w:rsidRPr="00774608" w:rsidRDefault="009B45ED" w:rsidP="0008019C">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4" w:name="_Hlk505695940"/>
    </w:p>
    <w:p w:rsidR="00BC2744" w:rsidRPr="00774608" w:rsidRDefault="004612F5" w:rsidP="0008019C">
      <w:pPr>
        <w:spacing w:after="120" w:line="240" w:lineRule="auto"/>
        <w:jc w:val="both"/>
        <w:rPr>
          <w:rFonts w:eastAsia="Times New Roman" w:cs="Calibri"/>
          <w:iCs/>
          <w:lang w:val="ro-RO"/>
        </w:rPr>
      </w:pPr>
      <w:bookmarkStart w:id="75" w:name="_Hlk506213339"/>
      <w:bookmarkStart w:id="76" w:name="_Hlk506213216"/>
      <w:bookmarkEnd w:id="74"/>
      <w:r w:rsidRPr="00774608">
        <w:rPr>
          <w:rFonts w:eastAsia="Times New Roman" w:cs="Calibri"/>
          <w:lang w:val="ro-RO"/>
        </w:rPr>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5"/>
      <w:bookmarkEnd w:id="76"/>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rsidR="00AD1DF8" w:rsidRPr="00774608" w:rsidRDefault="009B45ED" w:rsidP="0008019C">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C50072" w:rsidRPr="00774608">
        <w:rPr>
          <w:rFonts w:cs="Calibri"/>
          <w:b/>
          <w:lang w:val="ro-RO"/>
        </w:rPr>
        <w:t>36</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rsidR="002E4525" w:rsidRPr="00774608" w:rsidRDefault="002E4525" w:rsidP="0008019C">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rsidR="0066081E" w:rsidRPr="00774608" w:rsidRDefault="0066081E" w:rsidP="0008019C">
      <w:pPr>
        <w:numPr>
          <w:ilvl w:val="0"/>
          <w:numId w:val="23"/>
        </w:numPr>
        <w:spacing w:after="120" w:line="240" w:lineRule="auto"/>
        <w:jc w:val="both"/>
        <w:rPr>
          <w:rFonts w:cs="Calibri"/>
          <w:b/>
          <w:lang w:val="ro-RO"/>
        </w:rPr>
      </w:pPr>
      <w:r w:rsidRPr="00774608">
        <w:rPr>
          <w:rFonts w:cs="Calibri"/>
          <w:b/>
          <w:lang w:val="ro-RO"/>
        </w:rPr>
        <w:t>Informare și comunicare</w:t>
      </w:r>
    </w:p>
    <w:p w:rsidR="00D26566" w:rsidRPr="000F0F33" w:rsidRDefault="00D26566" w:rsidP="00D26566">
      <w:pPr>
        <w:spacing w:after="0" w:line="240" w:lineRule="auto"/>
        <w:jc w:val="both"/>
        <w:rPr>
          <w:rFonts w:eastAsia="Times New Roman" w:cs="Calibri"/>
          <w:color w:val="000000"/>
          <w:lang w:val="ro-RO"/>
        </w:rPr>
      </w:pPr>
      <w:bookmarkStart w:id="77"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w:t>
      </w:r>
      <w:r w:rsidRPr="000F0F33">
        <w:rPr>
          <w:rFonts w:eastAsia="Times New Roman" w:cs="Calibri"/>
          <w:b/>
          <w:bCs/>
          <w:lang w:val="ro-RO"/>
        </w:rPr>
        <w:t>în mod obligatoriu și</w:t>
      </w:r>
      <w:r w:rsidRPr="000F0F33">
        <w:rPr>
          <w:rFonts w:eastAsia="Times New Roman" w:cs="Calibri"/>
          <w:b/>
          <w:lang w:val="ro-RO"/>
        </w:rPr>
        <w:t xml:space="preserve"> cumulativ</w:t>
      </w:r>
      <w:r w:rsidRPr="000F0F33">
        <w:rPr>
          <w:rFonts w:eastAsia="Times New Roman" w:cs="Calibri"/>
          <w:lang w:val="ro-RO"/>
        </w:rPr>
        <w:t xml:space="preserv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rsidR="00F91D5C" w:rsidRPr="00D26566" w:rsidRDefault="00D26566" w:rsidP="00D26566">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rsidR="00D26566" w:rsidRDefault="00D26566" w:rsidP="00A17F94">
      <w:pPr>
        <w:pStyle w:val="Heading2"/>
        <w:spacing w:before="0" w:after="120" w:line="240" w:lineRule="auto"/>
        <w:jc w:val="both"/>
        <w:rPr>
          <w:rFonts w:ascii="Calibri" w:hAnsi="Calibri" w:cs="Calibri"/>
          <w:color w:val="auto"/>
          <w:sz w:val="22"/>
          <w:szCs w:val="22"/>
          <w:lang w:val="ro-RO"/>
        </w:rPr>
      </w:pPr>
      <w:bookmarkStart w:id="78" w:name="_Toc510173698"/>
    </w:p>
    <w:p w:rsidR="001F62D0" w:rsidRPr="00774608" w:rsidRDefault="001F62D0"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3.3: Eligibilitatea solicitanților și a partenerilor</w:t>
      </w:r>
      <w:bookmarkEnd w:id="77"/>
      <w:bookmarkEnd w:id="78"/>
    </w:p>
    <w:p w:rsidR="00C62F4A" w:rsidRPr="00774608" w:rsidRDefault="001F62D0" w:rsidP="00A17F94">
      <w:pPr>
        <w:spacing w:after="120" w:line="240" w:lineRule="auto"/>
        <w:jc w:val="both"/>
        <w:rPr>
          <w:rFonts w:cs="Calibri"/>
          <w:bCs/>
          <w:lang w:val="ro-RO"/>
        </w:rPr>
      </w:pPr>
      <w:r w:rsidRPr="00774608">
        <w:rPr>
          <w:rFonts w:cs="Calibri"/>
          <w:bCs/>
          <w:lang w:val="ro-RO"/>
        </w:rPr>
        <w:t>Pot solicita finanțare în cadrul acestui apel</w:t>
      </w:r>
      <w:r w:rsidR="00BD4D7C" w:rsidRPr="00774608">
        <w:rPr>
          <w:rFonts w:cs="Calibri"/>
          <w:bCs/>
          <w:lang w:val="ro-RO"/>
        </w:rPr>
        <w:t>:</w:t>
      </w:r>
      <w:r w:rsidR="00C62F4A" w:rsidRPr="00774608">
        <w:rPr>
          <w:rFonts w:cs="Calibri"/>
          <w:bCs/>
          <w:lang w:val="ro-RO"/>
        </w:rPr>
        <w:t xml:space="preserve"> </w:t>
      </w:r>
    </w:p>
    <w:p w:rsidR="005E0669" w:rsidRPr="00774608" w:rsidRDefault="005E0669" w:rsidP="005E0669">
      <w:pPr>
        <w:numPr>
          <w:ilvl w:val="0"/>
          <w:numId w:val="33"/>
        </w:numPr>
        <w:spacing w:before="240" w:after="0" w:line="240" w:lineRule="auto"/>
        <w:rPr>
          <w:rFonts w:cs="Calibri"/>
          <w:lang w:val="ro-RO"/>
        </w:rPr>
      </w:pPr>
      <w:r w:rsidRPr="00774608">
        <w:rPr>
          <w:rFonts w:cs="Calibri"/>
          <w:lang w:val="ro-RO"/>
        </w:rPr>
        <w:t>autorități și instituții publice centrale</w:t>
      </w:r>
      <w:r w:rsidR="00476DF6">
        <w:rPr>
          <w:rFonts w:cs="Calibri"/>
          <w:lang w:val="ro-RO"/>
        </w:rPr>
        <w:t>, așa cum sunt ele adresate în SCAP și în SMBR</w:t>
      </w:r>
      <w:r w:rsidR="00567B66" w:rsidRPr="00774608">
        <w:rPr>
          <w:rFonts w:cs="Calibri"/>
          <w:lang w:val="ro-RO"/>
        </w:rPr>
        <w:t>;</w:t>
      </w:r>
    </w:p>
    <w:p w:rsidR="00C50072" w:rsidRPr="00774608" w:rsidRDefault="005E0669" w:rsidP="005E0669">
      <w:pPr>
        <w:numPr>
          <w:ilvl w:val="0"/>
          <w:numId w:val="33"/>
        </w:numPr>
        <w:spacing w:after="120" w:line="240" w:lineRule="auto"/>
        <w:jc w:val="both"/>
        <w:rPr>
          <w:rFonts w:cs="Calibri"/>
          <w:bCs/>
          <w:lang w:val="ro-RO"/>
        </w:rPr>
      </w:pPr>
      <w:r w:rsidRPr="00774608">
        <w:rPr>
          <w:rFonts w:cs="Calibri"/>
          <w:lang w:val="ro-RO"/>
        </w:rPr>
        <w:t>autorități administrative autonome</w:t>
      </w:r>
      <w:r w:rsidR="00567B66" w:rsidRPr="00774608">
        <w:rPr>
          <w:rFonts w:cs="Calibri"/>
          <w:lang w:val="ro-RO"/>
        </w:rPr>
        <w:t>;</w:t>
      </w:r>
    </w:p>
    <w:p w:rsidR="002F2E51" w:rsidRPr="00774608" w:rsidRDefault="002F2E51" w:rsidP="00044107">
      <w:pPr>
        <w:spacing w:after="120" w:line="240" w:lineRule="auto"/>
        <w:rPr>
          <w:rFonts w:cs="Calibri"/>
          <w:lang w:val="ro-RO"/>
        </w:rPr>
      </w:pPr>
      <w:r w:rsidRPr="00774608">
        <w:rPr>
          <w:rFonts w:cs="Calibri"/>
          <w:lang w:val="ro-RO"/>
        </w:rPr>
        <w:t>Pot fi parteneri următoarele categorii de instituții:</w:t>
      </w:r>
    </w:p>
    <w:p w:rsidR="005E0669" w:rsidRPr="00774608" w:rsidRDefault="005E0669" w:rsidP="005E0669">
      <w:pPr>
        <w:numPr>
          <w:ilvl w:val="0"/>
          <w:numId w:val="24"/>
        </w:numPr>
        <w:spacing w:before="240" w:after="0" w:line="240" w:lineRule="auto"/>
        <w:rPr>
          <w:rFonts w:cs="Calibri"/>
          <w:lang w:val="ro-RO"/>
        </w:rPr>
      </w:pPr>
      <w:r w:rsidRPr="00774608">
        <w:rPr>
          <w:rFonts w:cs="Calibri"/>
          <w:lang w:val="ro-RO"/>
        </w:rPr>
        <w:t>autorități și instituții publice centrale</w:t>
      </w:r>
      <w:r w:rsidR="00567B66" w:rsidRPr="00774608">
        <w:rPr>
          <w:rFonts w:cs="Calibri"/>
          <w:lang w:val="ro-RO"/>
        </w:rPr>
        <w:t>;</w:t>
      </w:r>
    </w:p>
    <w:p w:rsidR="002F2E51" w:rsidRPr="007D29E4" w:rsidRDefault="005E0669" w:rsidP="007D29E4">
      <w:pPr>
        <w:numPr>
          <w:ilvl w:val="0"/>
          <w:numId w:val="33"/>
        </w:numPr>
        <w:spacing w:after="0" w:line="240" w:lineRule="auto"/>
        <w:ind w:left="714" w:hanging="357"/>
        <w:rPr>
          <w:rFonts w:cs="Calibri"/>
          <w:lang w:val="ro-RO"/>
        </w:rPr>
      </w:pPr>
      <w:r w:rsidRPr="00774608">
        <w:rPr>
          <w:rFonts w:cs="Calibri"/>
          <w:lang w:val="ro-RO"/>
        </w:rPr>
        <w:lastRenderedPageBreak/>
        <w:t>autorități administrative autonome</w:t>
      </w:r>
      <w:r w:rsidR="007D29E4" w:rsidRPr="007D29E4">
        <w:rPr>
          <w:rFonts w:cs="Calibri"/>
          <w:lang w:val="ro-RO"/>
        </w:rPr>
        <w:t>;</w:t>
      </w:r>
    </w:p>
    <w:p w:rsidR="007D29E4" w:rsidRDefault="007D29E4" w:rsidP="007D29E4">
      <w:pPr>
        <w:numPr>
          <w:ilvl w:val="0"/>
          <w:numId w:val="33"/>
        </w:numPr>
        <w:spacing w:after="0" w:line="240" w:lineRule="auto"/>
        <w:ind w:left="714" w:hanging="357"/>
        <w:rPr>
          <w:rFonts w:cs="Calibri"/>
          <w:bCs/>
          <w:lang w:val="ro-RO"/>
        </w:rPr>
      </w:pPr>
      <w:r w:rsidRPr="004321EE">
        <w:rPr>
          <w:rFonts w:cs="Calibri"/>
          <w:lang w:val="ro-RO"/>
        </w:rPr>
        <w:t>structuri</w:t>
      </w:r>
      <w:r w:rsidRPr="004321EE">
        <w:rPr>
          <w:rFonts w:cs="Calibri"/>
          <w:bCs/>
          <w:lang w:val="ro-RO"/>
        </w:rPr>
        <w:t xml:space="preserve"> asociative ale autorităților administrației publice locale</w:t>
      </w:r>
      <w:r w:rsidR="005933C3">
        <w:rPr>
          <w:rFonts w:cs="Calibri"/>
          <w:bCs/>
          <w:lang w:val="ro-RO"/>
        </w:rPr>
        <w:t>;</w:t>
      </w:r>
    </w:p>
    <w:p w:rsidR="003D21EC" w:rsidRDefault="00A17654" w:rsidP="00A17654">
      <w:pPr>
        <w:numPr>
          <w:ilvl w:val="0"/>
          <w:numId w:val="33"/>
        </w:numPr>
        <w:spacing w:after="0" w:line="240" w:lineRule="auto"/>
        <w:rPr>
          <w:rFonts w:cs="Calibri"/>
          <w:bCs/>
          <w:lang w:val="ro-RO"/>
        </w:rPr>
      </w:pPr>
      <w:r w:rsidRPr="00A17654">
        <w:rPr>
          <w:rFonts w:cs="Calibri"/>
          <w:bCs/>
          <w:lang w:val="ro-RO"/>
        </w:rPr>
        <w:t>ONG-uri;</w:t>
      </w:r>
      <w:r w:rsidR="003D21EC">
        <w:rPr>
          <w:rFonts w:cs="Calibri"/>
          <w:bCs/>
          <w:lang w:val="ro-RO"/>
        </w:rPr>
        <w:t xml:space="preserve"> </w:t>
      </w:r>
    </w:p>
    <w:p w:rsidR="000E61A7" w:rsidRDefault="003D21EC" w:rsidP="00A17654">
      <w:pPr>
        <w:numPr>
          <w:ilvl w:val="0"/>
          <w:numId w:val="33"/>
        </w:numPr>
        <w:spacing w:after="0" w:line="240" w:lineRule="auto"/>
        <w:rPr>
          <w:rFonts w:cs="Calibri"/>
          <w:bCs/>
          <w:lang w:val="ro-RO"/>
        </w:rPr>
      </w:pPr>
      <w:r w:rsidRPr="00E3432B">
        <w:rPr>
          <w:rFonts w:cs="Calibri"/>
          <w:bCs/>
          <w:lang w:val="ro-RO"/>
        </w:rPr>
        <w:t xml:space="preserve">parteneri sociali </w:t>
      </w:r>
      <w:r w:rsidRPr="00E3432B">
        <w:rPr>
          <w:rFonts w:cs="Calibri"/>
          <w:lang w:val="ro-RO"/>
        </w:rPr>
        <w:t>(</w:t>
      </w:r>
      <w:r w:rsidRPr="00E3432B">
        <w:rPr>
          <w:rFonts w:cs="Calibri"/>
          <w:bCs/>
          <w:lang w:val="ro-RO"/>
        </w:rPr>
        <w:t xml:space="preserve">organizații sindicale, organizații patronale, precum și formele de asociere ale acestora cu personalitate juridică); </w:t>
      </w:r>
    </w:p>
    <w:p w:rsidR="00A17654" w:rsidRDefault="003D21EC" w:rsidP="00A17654">
      <w:pPr>
        <w:numPr>
          <w:ilvl w:val="0"/>
          <w:numId w:val="33"/>
        </w:numPr>
        <w:spacing w:after="0" w:line="240" w:lineRule="auto"/>
        <w:rPr>
          <w:rFonts w:cs="Calibri"/>
          <w:bCs/>
          <w:lang w:val="ro-RO"/>
        </w:rPr>
      </w:pPr>
      <w:r w:rsidRPr="00E3432B">
        <w:rPr>
          <w:rFonts w:cs="Calibri"/>
          <w:bCs/>
          <w:lang w:val="ro-RO"/>
        </w:rPr>
        <w:t>instituții de învățământ superior acreditate și de cercetare</w:t>
      </w:r>
      <w:r w:rsidR="005933C3">
        <w:rPr>
          <w:rFonts w:cs="Calibri"/>
          <w:bCs/>
          <w:lang w:val="ro-RO"/>
        </w:rPr>
        <w:t>;</w:t>
      </w:r>
    </w:p>
    <w:p w:rsidR="000E61A7" w:rsidRPr="00A17654" w:rsidRDefault="000E61A7" w:rsidP="00A17654">
      <w:pPr>
        <w:numPr>
          <w:ilvl w:val="0"/>
          <w:numId w:val="33"/>
        </w:numPr>
        <w:spacing w:after="0" w:line="240" w:lineRule="auto"/>
        <w:rPr>
          <w:rFonts w:cs="Calibri"/>
          <w:bCs/>
          <w:lang w:val="ro-RO"/>
        </w:rPr>
      </w:pPr>
      <w:r>
        <w:rPr>
          <w:rFonts w:cs="Calibri"/>
          <w:bCs/>
          <w:lang w:val="ro-RO"/>
        </w:rPr>
        <w:t xml:space="preserve">Academia Română. </w:t>
      </w:r>
    </w:p>
    <w:p w:rsidR="0065601C" w:rsidRPr="00774608" w:rsidRDefault="0065601C" w:rsidP="0065601C">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rsidR="0065601C" w:rsidRDefault="0065601C" w:rsidP="0065601C">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rsidR="000E6266" w:rsidRPr="007C0FFD" w:rsidRDefault="000E6266" w:rsidP="000E6266">
      <w:pPr>
        <w:spacing w:after="120" w:line="240" w:lineRule="auto"/>
        <w:jc w:val="both"/>
        <w:rPr>
          <w:rFonts w:cs="Arial"/>
          <w:lang w:val="ro-RO"/>
        </w:rPr>
      </w:pPr>
      <w:bookmarkStart w:id="79"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rsidR="000E6266" w:rsidRPr="007C0FFD" w:rsidRDefault="000E6266" w:rsidP="000E6266">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rsidR="000E6266" w:rsidRPr="007C0FFD" w:rsidRDefault="000E6266" w:rsidP="000E6266">
      <w:pPr>
        <w:numPr>
          <w:ilvl w:val="0"/>
          <w:numId w:val="32"/>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rsidR="000E6266" w:rsidRDefault="000E6266" w:rsidP="000E6266">
      <w:pPr>
        <w:numPr>
          <w:ilvl w:val="1"/>
          <w:numId w:val="32"/>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rsidR="000E6266" w:rsidRPr="000E6266" w:rsidRDefault="000E6266" w:rsidP="0065601C">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79"/>
    <w:p w:rsidR="0065601C" w:rsidRPr="00774608" w:rsidRDefault="0065601C" w:rsidP="0065601C">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774608" w:rsidTr="0055393D">
        <w:tc>
          <w:tcPr>
            <w:tcW w:w="9295" w:type="dxa"/>
            <w:shd w:val="clear" w:color="auto" w:fill="D0CECE"/>
          </w:tcPr>
          <w:p w:rsidR="004E5FAC" w:rsidRPr="00774608" w:rsidRDefault="004E5FAC" w:rsidP="00425B1B">
            <w:pPr>
              <w:spacing w:after="120" w:line="240" w:lineRule="auto"/>
              <w:jc w:val="both"/>
              <w:rPr>
                <w:rFonts w:cs="Calibri"/>
                <w:b/>
                <w:lang w:val="ro-RO"/>
              </w:rPr>
            </w:pPr>
            <w:r w:rsidRPr="00774608">
              <w:rPr>
                <w:rFonts w:cs="Calibri"/>
                <w:b/>
                <w:lang w:val="ro-RO"/>
              </w:rPr>
              <w:t>ATENȚIE!</w:t>
            </w:r>
          </w:p>
          <w:p w:rsidR="004E5FAC" w:rsidRPr="004E1AE4" w:rsidRDefault="004E5FAC" w:rsidP="00425B1B">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sidR="004E1AE4">
              <w:rPr>
                <w:rFonts w:cs="Calibri"/>
                <w:b/>
                <w:lang w:val="ro-RO"/>
              </w:rPr>
              <w:t xml:space="preserve">. Excepție </w:t>
            </w:r>
            <w:r w:rsidR="004C42D9">
              <w:rPr>
                <w:rFonts w:cs="Calibri"/>
                <w:b/>
                <w:lang w:val="ro-RO"/>
              </w:rPr>
              <w:t>fac</w:t>
            </w:r>
            <w:r w:rsidR="004E1AE4">
              <w:rPr>
                <w:rFonts w:cs="Calibri"/>
                <w:b/>
                <w:lang w:val="ro-RO"/>
              </w:rPr>
              <w:t xml:space="preserve"> </w:t>
            </w:r>
            <w:r w:rsidR="004C42D9">
              <w:rPr>
                <w:rFonts w:cs="Calibri"/>
                <w:b/>
                <w:lang w:val="ro-RO"/>
              </w:rPr>
              <w:t>parteneriatele încheiate între</w:t>
            </w:r>
            <w:r w:rsidR="004E1AE4">
              <w:rPr>
                <w:rFonts w:cs="Calibri"/>
                <w:b/>
                <w:lang w:val="ro-RO"/>
              </w:rPr>
              <w:t xml:space="preserve"> autoritățil</w:t>
            </w:r>
            <w:r w:rsidR="004C42D9">
              <w:rPr>
                <w:rFonts w:cs="Calibri"/>
                <w:b/>
                <w:lang w:val="ro-RO"/>
              </w:rPr>
              <w:t>e</w:t>
            </w:r>
            <w:r w:rsidR="004E1AE4">
              <w:rPr>
                <w:rFonts w:cs="Calibri"/>
                <w:b/>
                <w:lang w:val="ro-RO"/>
              </w:rPr>
              <w:t xml:space="preserve"> și instituțiil</w:t>
            </w:r>
            <w:r w:rsidR="004C42D9">
              <w:rPr>
                <w:rFonts w:cs="Calibri"/>
                <w:b/>
                <w:lang w:val="ro-RO"/>
              </w:rPr>
              <w:t>e</w:t>
            </w:r>
            <w:r w:rsidR="004E1AE4">
              <w:rPr>
                <w:rFonts w:cs="Calibri"/>
                <w:b/>
                <w:lang w:val="ro-RO"/>
              </w:rPr>
              <w:t xml:space="preserve"> publice centrale</w:t>
            </w:r>
            <w:r w:rsidR="00B85F8F">
              <w:rPr>
                <w:rFonts w:cs="Calibri"/>
                <w:b/>
                <w:lang w:val="ro-RO"/>
              </w:rPr>
              <w:t>.</w:t>
            </w:r>
          </w:p>
        </w:tc>
      </w:tr>
    </w:tbl>
    <w:p w:rsidR="00455895" w:rsidRPr="00774608" w:rsidRDefault="00455895" w:rsidP="004E5FAC">
      <w:pPr>
        <w:autoSpaceDE w:val="0"/>
        <w:autoSpaceDN w:val="0"/>
        <w:adjustRightInd w:val="0"/>
        <w:spacing w:after="120" w:line="240" w:lineRule="auto"/>
        <w:jc w:val="both"/>
        <w:rPr>
          <w:rFonts w:cs="Calibri"/>
          <w:lang w:val="ro-RO"/>
        </w:rPr>
      </w:pPr>
    </w:p>
    <w:p w:rsidR="00666AA8" w:rsidRPr="00774608" w:rsidRDefault="00764134" w:rsidP="00A17F94">
      <w:pPr>
        <w:pStyle w:val="Heading2"/>
        <w:spacing w:before="0" w:after="120" w:line="240" w:lineRule="auto"/>
        <w:jc w:val="both"/>
        <w:rPr>
          <w:rFonts w:ascii="Calibri" w:hAnsi="Calibri" w:cs="Calibri"/>
          <w:color w:val="000000"/>
          <w:sz w:val="22"/>
          <w:szCs w:val="22"/>
          <w:lang w:val="ro-RO"/>
        </w:rPr>
      </w:pPr>
      <w:bookmarkStart w:id="80" w:name="_Toc489006357"/>
      <w:bookmarkStart w:id="81" w:name="_Toc510173699"/>
      <w:r w:rsidRPr="00774608">
        <w:rPr>
          <w:rFonts w:ascii="Calibri" w:hAnsi="Calibri" w:cs="Calibri"/>
          <w:color w:val="auto"/>
          <w:sz w:val="22"/>
          <w:szCs w:val="22"/>
          <w:lang w:val="ro-RO"/>
        </w:rPr>
        <w:lastRenderedPageBreak/>
        <w:t>Subsecțiunea 3.4</w:t>
      </w:r>
      <w:r w:rsidR="00466B70" w:rsidRPr="00774608">
        <w:rPr>
          <w:rFonts w:ascii="Calibri" w:hAnsi="Calibri" w:cs="Calibri"/>
          <w:color w:val="auto"/>
          <w:sz w:val="22"/>
          <w:szCs w:val="22"/>
          <w:lang w:val="ro-RO"/>
        </w:rPr>
        <w:t>: Eligibilitatea grupului țintă</w:t>
      </w:r>
      <w:bookmarkEnd w:id="80"/>
      <w:bookmarkEnd w:id="81"/>
    </w:p>
    <w:p w:rsidR="009B2727" w:rsidRPr="00774608" w:rsidRDefault="008323D8" w:rsidP="00A17F94">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rsidR="00EF1A80" w:rsidRDefault="00EF1A80" w:rsidP="00EF1A80">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centrale</w:t>
      </w:r>
      <w:r w:rsidR="005738C5">
        <w:rPr>
          <w:rFonts w:cs="Calibri"/>
          <w:lang w:val="ro-RO"/>
        </w:rPr>
        <w:t xml:space="preserve"> și locale</w:t>
      </w:r>
      <w:r w:rsidRPr="00774608">
        <w:rPr>
          <w:rFonts w:cs="Calibri"/>
          <w:lang w:val="ro-RO"/>
        </w:rPr>
        <w:t xml:space="preserve"> (personal de conducere și de execuție, înalți funcționari publici), </w:t>
      </w:r>
    </w:p>
    <w:p w:rsidR="00C86C73" w:rsidRDefault="00C86C73" w:rsidP="00EF1A80">
      <w:pPr>
        <w:numPr>
          <w:ilvl w:val="0"/>
          <w:numId w:val="28"/>
        </w:numPr>
        <w:spacing w:after="120" w:line="240" w:lineRule="auto"/>
        <w:jc w:val="both"/>
        <w:rPr>
          <w:rFonts w:cs="Calibri"/>
          <w:lang w:val="ro-RO"/>
        </w:rPr>
      </w:pPr>
      <w:r>
        <w:rPr>
          <w:rFonts w:cs="Calibri"/>
          <w:lang w:val="ro-RO"/>
        </w:rPr>
        <w:t>personalul din autoritățile administrativ autonome,</w:t>
      </w:r>
    </w:p>
    <w:p w:rsidR="004A50C7" w:rsidRPr="00774608" w:rsidRDefault="004A50C7" w:rsidP="004A50C7">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rsidR="004321EE" w:rsidRDefault="004D04A5" w:rsidP="00EF1A80">
      <w:pPr>
        <w:numPr>
          <w:ilvl w:val="0"/>
          <w:numId w:val="28"/>
        </w:numPr>
        <w:spacing w:after="120" w:line="240" w:lineRule="auto"/>
        <w:jc w:val="both"/>
        <w:rPr>
          <w:rFonts w:cs="Calibri"/>
          <w:lang w:val="ro-RO"/>
        </w:rPr>
      </w:pPr>
      <w:r>
        <w:rPr>
          <w:rFonts w:cs="Calibri"/>
          <w:lang w:val="ro-RO"/>
        </w:rPr>
        <w:t>reprezentanți ai structurilor asociative ale autorităților administrației publice locale</w:t>
      </w:r>
      <w:r w:rsidR="004A50C7">
        <w:rPr>
          <w:rFonts w:cs="Calibri"/>
          <w:lang w:val="ro-RO"/>
        </w:rPr>
        <w:t>.</w:t>
      </w:r>
    </w:p>
    <w:p w:rsidR="007D19CC" w:rsidRPr="00774608" w:rsidRDefault="00CE3266" w:rsidP="00A17F94">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rsidR="008323D8" w:rsidRPr="00774608" w:rsidRDefault="008323D8" w:rsidP="008323D8">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Pr="00774608">
        <w:rPr>
          <w:rFonts w:cs="Calibri"/>
          <w:b/>
          <w:i/>
          <w:lang w:val="ro-RO"/>
        </w:rPr>
        <w:t>R12:</w:t>
      </w:r>
      <w:r w:rsidR="003166A7" w:rsidRPr="00774608">
        <w:rPr>
          <w:rFonts w:cs="Calibri"/>
          <w:lang w:val="ro-RO"/>
        </w:rPr>
        <w:t xml:space="preserve"> </w:t>
      </w:r>
      <w:r w:rsidR="003166A7" w:rsidRPr="00774608">
        <w:rPr>
          <w:rFonts w:cs="Calibri"/>
          <w:i/>
          <w:lang w:val="ro-RO"/>
        </w:rPr>
        <w:t>Cunoștințe și abilități ale personalului din autoritățile și instituțiile publice centrale îmbunătățite pentru susținerea măsurilor/acțiunilor din cadrul acestui obiectiv specific</w:t>
      </w:r>
      <w:r w:rsidRPr="00774608">
        <w:rPr>
          <w:rFonts w:cs="Calibri"/>
          <w:i/>
          <w:lang w:val="ro-RO"/>
        </w:rPr>
        <w:t xml:space="preserve"> </w:t>
      </w:r>
      <w:r w:rsidRPr="00774608">
        <w:rPr>
          <w:rFonts w:cs="Calibri"/>
          <w:lang w:val="ro-RO"/>
        </w:rPr>
        <w:t>va fi cuantificat în secțiunea Grup țintă din cererea de finanțare.</w:t>
      </w:r>
    </w:p>
    <w:p w:rsidR="00FF7F46" w:rsidRDefault="009517E6" w:rsidP="00A17F94">
      <w:pPr>
        <w:spacing w:after="120" w:line="240" w:lineRule="auto"/>
        <w:jc w:val="both"/>
        <w:rPr>
          <w:rFonts w:eastAsia="Times New Roman" w:cs="Calibri"/>
          <w:lang w:val="ro-RO"/>
        </w:rPr>
      </w:pPr>
      <w:r w:rsidRPr="00774608">
        <w:rPr>
          <w:rFonts w:eastAsia="Times New Roman" w:cs="Calibri"/>
          <w:lang w:val="ro-RO"/>
        </w:rPr>
        <w:t xml:space="preserve">Persoanele care sprijină realizarea rezultatelor proiectului (de exemplu: personal din instituții publice locale sau din structurile asociative ale autorităților publice locale în cadrul unor sesiuni de consultare sau în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nu este considerat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rsidR="0090738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ATENŢIE! </w:t>
      </w:r>
    </w:p>
    <w:p w:rsidR="00B453D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rsidR="00907384" w:rsidRPr="00774608" w:rsidRDefault="00907384" w:rsidP="00A17F94">
      <w:pPr>
        <w:spacing w:after="120" w:line="240" w:lineRule="auto"/>
        <w:jc w:val="both"/>
        <w:rPr>
          <w:rFonts w:eastAsia="Times New Roman" w:cs="Calibri"/>
          <w:lang w:val="ro-RO"/>
        </w:rPr>
      </w:pPr>
    </w:p>
    <w:p w:rsidR="006023EB" w:rsidRPr="00774608" w:rsidRDefault="008C4116" w:rsidP="00A17F94">
      <w:pPr>
        <w:pStyle w:val="Heading2"/>
        <w:spacing w:before="0" w:after="120" w:line="240" w:lineRule="auto"/>
        <w:jc w:val="both"/>
        <w:rPr>
          <w:rFonts w:ascii="Calibri" w:hAnsi="Calibri" w:cs="Calibri"/>
          <w:color w:val="000000"/>
          <w:sz w:val="22"/>
          <w:szCs w:val="22"/>
          <w:lang w:val="ro-RO"/>
        </w:rPr>
      </w:pPr>
      <w:bookmarkStart w:id="82" w:name="_Toc510173700"/>
      <w:r w:rsidRPr="00774608">
        <w:rPr>
          <w:rFonts w:ascii="Calibri" w:hAnsi="Calibri" w:cs="Calibri"/>
          <w:color w:val="000000"/>
          <w:sz w:val="22"/>
          <w:szCs w:val="22"/>
          <w:lang w:val="ro-RO"/>
        </w:rPr>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2"/>
    </w:p>
    <w:p w:rsidR="00666AA8" w:rsidRPr="00774608" w:rsidRDefault="00666AA8"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F91D5C" w:rsidRPr="00774608" w:rsidRDefault="00F91D5C" w:rsidP="00F91D5C">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2"/>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rsidR="0035335D" w:rsidRPr="00774608" w:rsidRDefault="008D23ED" w:rsidP="00A17F94">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w:t>
      </w:r>
      <w:r w:rsidRPr="00774608">
        <w:rPr>
          <w:rFonts w:eastAsia="Times New Roman" w:cs="Calibri"/>
          <w:i/>
          <w:lang w:val="ro-RO"/>
        </w:rPr>
        <w:lastRenderedPageBreak/>
        <w:t>2020</w:t>
      </w:r>
      <w:r w:rsidRPr="00774608">
        <w:rPr>
          <w:rFonts w:eastAsia="Times New Roman" w:cs="Calibri"/>
          <w:lang w:val="ro-RO"/>
        </w:rPr>
        <w:t xml:space="preserve">, ce poate fi accesat la următorul link: </w:t>
      </w:r>
      <w:hyperlink r:id="rId17"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rsidR="00570EA0" w:rsidRPr="00774608" w:rsidRDefault="00570EA0" w:rsidP="00A17F94">
      <w:pPr>
        <w:pStyle w:val="Heading2"/>
        <w:spacing w:before="0" w:after="120" w:line="240" w:lineRule="auto"/>
        <w:jc w:val="both"/>
        <w:rPr>
          <w:rFonts w:ascii="Calibri" w:hAnsi="Calibri" w:cs="Calibri"/>
          <w:color w:val="auto"/>
          <w:sz w:val="22"/>
          <w:szCs w:val="22"/>
          <w:lang w:val="ro-RO"/>
        </w:rPr>
      </w:pPr>
      <w:bookmarkStart w:id="83" w:name="_Toc489006360"/>
      <w:bookmarkStart w:id="84" w:name="_Toc510173701"/>
    </w:p>
    <w:p w:rsidR="008D23ED" w:rsidRPr="00774608" w:rsidRDefault="00764134"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3"/>
      <w:bookmarkEnd w:id="84"/>
    </w:p>
    <w:p w:rsidR="003F4A40" w:rsidRPr="00774608" w:rsidRDefault="000D4640" w:rsidP="00A17F94">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rsidR="00225AFE" w:rsidRPr="00774608" w:rsidRDefault="004A24D4" w:rsidP="00A17F94">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rsidR="004A24D4" w:rsidRPr="00774608" w:rsidRDefault="005E18DA" w:rsidP="00A17F94">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rsidR="00846BB6" w:rsidRPr="00774608" w:rsidRDefault="00846BB6" w:rsidP="00846BB6">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rsidR="00B44C38" w:rsidRPr="00774608" w:rsidRDefault="00B44C38" w:rsidP="00B44C38">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avut atribuții în domeniul în care urmează să acționeze proiectul propus spre finanțare, cel puțin 6 luni, preferabil, sau </w:t>
      </w:r>
    </w:p>
    <w:p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lastRenderedPageBreak/>
        <w:t xml:space="preserve">să fie absolvent cu diplomă al unui curs autorizat ANC sau echivalent, pentru ocupația Expert achiziții publice sau </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rsidR="00B44C38" w:rsidRPr="00774608" w:rsidRDefault="00B44C38" w:rsidP="00B44C38">
      <w:pPr>
        <w:pStyle w:val="ListParagraph"/>
        <w:spacing w:after="120" w:line="240" w:lineRule="auto"/>
        <w:ind w:left="1440"/>
        <w:jc w:val="both"/>
        <w:rPr>
          <w:rFonts w:cs="Calibri"/>
          <w:sz w:val="22"/>
          <w:szCs w:val="22"/>
          <w:lang w:val="ro-RO"/>
        </w:rPr>
      </w:pPr>
    </w:p>
    <w:p w:rsidR="00B44C38" w:rsidRPr="00774608" w:rsidRDefault="00B44C38" w:rsidP="00B44C38">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rsidTr="00CE61BD">
        <w:trPr>
          <w:trHeight w:val="2382"/>
        </w:trPr>
        <w:tc>
          <w:tcPr>
            <w:tcW w:w="9413" w:type="dxa"/>
            <w:shd w:val="clear" w:color="auto" w:fill="BFBFBF"/>
          </w:tcPr>
          <w:p w:rsidR="00B87856" w:rsidRPr="00774608" w:rsidRDefault="00B87856" w:rsidP="00A17F94">
            <w:pPr>
              <w:spacing w:after="120" w:line="240" w:lineRule="auto"/>
              <w:jc w:val="both"/>
              <w:rPr>
                <w:rFonts w:cs="Calibri"/>
                <w:bCs/>
                <w:color w:val="000000"/>
                <w:lang w:val="ro-RO"/>
              </w:rPr>
            </w:pPr>
            <w:r w:rsidRPr="00774608">
              <w:rPr>
                <w:rFonts w:cs="Calibri"/>
                <w:bCs/>
                <w:color w:val="000000"/>
                <w:lang w:val="ro-RO"/>
              </w:rPr>
              <w:t>ATENȚIE!</w:t>
            </w:r>
          </w:p>
          <w:p w:rsidR="009C3637" w:rsidRPr="00774608" w:rsidRDefault="009C3637" w:rsidP="00A17F94">
            <w:pPr>
              <w:spacing w:after="120" w:line="240" w:lineRule="auto"/>
              <w:jc w:val="both"/>
              <w:rPr>
                <w:rFonts w:cs="Calibri"/>
                <w:lang w:val="ro-RO"/>
              </w:rPr>
            </w:pPr>
            <w:r w:rsidRPr="00774608">
              <w:rPr>
                <w:rFonts w:cs="Calibri"/>
                <w:bCs/>
                <w:lang w:val="ro-RO"/>
              </w:rPr>
              <w:t>Atribuțiile membrilor echipei de management nu se vor suprapune!</w:t>
            </w:r>
          </w:p>
          <w:p w:rsidR="00B87856" w:rsidRPr="00774608" w:rsidRDefault="009C3637" w:rsidP="00A17F94">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rsidR="00DA2BE0" w:rsidRPr="00774608" w:rsidRDefault="00752DE9" w:rsidP="006349BB">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rsidR="009F6BC7" w:rsidRPr="00774608" w:rsidRDefault="009F6BC7" w:rsidP="00A17F94">
      <w:pPr>
        <w:tabs>
          <w:tab w:val="left" w:leader="dot" w:pos="8789"/>
        </w:tabs>
        <w:spacing w:after="120" w:line="240" w:lineRule="auto"/>
        <w:jc w:val="both"/>
        <w:rPr>
          <w:rFonts w:cs="Calibri"/>
          <w:lang w:val="ro-RO"/>
        </w:rPr>
      </w:pPr>
    </w:p>
    <w:p w:rsidR="00380BAE" w:rsidRPr="00774608" w:rsidRDefault="00380BAE" w:rsidP="008C7F18">
      <w:pPr>
        <w:pStyle w:val="Heading2"/>
        <w:pageBreakBefore/>
        <w:spacing w:before="0" w:after="120" w:line="240" w:lineRule="auto"/>
        <w:jc w:val="both"/>
        <w:rPr>
          <w:rFonts w:ascii="Calibri" w:hAnsi="Calibri" w:cs="Calibri"/>
          <w:color w:val="auto"/>
          <w:sz w:val="22"/>
          <w:szCs w:val="22"/>
          <w:lang w:val="ro-RO"/>
        </w:rPr>
      </w:pPr>
      <w:bookmarkStart w:id="85" w:name="_Subsecțiunea_3.7:_Finanțare"/>
      <w:bookmarkStart w:id="86" w:name="_Toc489006361"/>
      <w:bookmarkStart w:id="87" w:name="_Toc510173702"/>
      <w:bookmarkEnd w:id="85"/>
      <w:r w:rsidRPr="00774608">
        <w:rPr>
          <w:rFonts w:ascii="Calibri" w:hAnsi="Calibri" w:cs="Calibri"/>
          <w:color w:val="auto"/>
          <w:sz w:val="22"/>
          <w:szCs w:val="22"/>
          <w:lang w:val="ro-RO"/>
        </w:rPr>
        <w:lastRenderedPageBreak/>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86"/>
      <w:bookmarkEnd w:id="87"/>
    </w:p>
    <w:p w:rsidR="001B001B" w:rsidRPr="00774608" w:rsidRDefault="001B001B" w:rsidP="008E4B1F">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rsidR="001B001B" w:rsidRPr="00774608" w:rsidRDefault="001B001B"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rsidR="00A17F94" w:rsidRPr="00774608" w:rsidRDefault="00A17F94" w:rsidP="00A17F94">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rsidR="00A17F94" w:rsidRPr="00774608" w:rsidRDefault="00A17F94" w:rsidP="00A17F94">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rsidR="00A17F94" w:rsidRPr="00774608" w:rsidRDefault="00A17F94" w:rsidP="00A17F94">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rsidR="002C2503" w:rsidRPr="00774608" w:rsidRDefault="002C2503" w:rsidP="002C2503">
      <w:pPr>
        <w:spacing w:after="120" w:line="240" w:lineRule="auto"/>
        <w:jc w:val="both"/>
        <w:rPr>
          <w:rFonts w:eastAsia="Times New Roman" w:cs="Calibri"/>
          <w:lang w:val="ro-RO"/>
        </w:rPr>
      </w:pPr>
      <w:r w:rsidRPr="00774608">
        <w:rPr>
          <w:rFonts w:eastAsia="Times New Roman" w:cs="Calibri"/>
          <w:b/>
          <w:lang w:val="ro-RO"/>
        </w:rPr>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rsidR="007D6E1C"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rsidR="00191656" w:rsidRPr="00774608" w:rsidRDefault="00191656" w:rsidP="00E00D6C">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rsidR="007D6E1C" w:rsidRPr="00774608"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rsidR="002C2503" w:rsidRPr="00774608" w:rsidRDefault="002C2503" w:rsidP="002C2503">
      <w:pPr>
        <w:spacing w:after="120" w:line="240" w:lineRule="auto"/>
        <w:jc w:val="both"/>
        <w:rPr>
          <w:rFonts w:eastAsia="Times New Roman" w:cs="Calibri"/>
          <w:color w:val="000000"/>
          <w:lang w:val="ro-RO"/>
        </w:rPr>
      </w:pPr>
      <w:bookmarkStart w:id="88"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88"/>
    <w:p w:rsidR="00ED0910" w:rsidRPr="00774608" w:rsidRDefault="00ED0910" w:rsidP="00ED0910">
      <w:p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În cazul proiectelor implementate în parteneriat, cofinanțarea trebuie asigurată de fiecare membru al parteneriatului prin aplicarea ratei de cofinanțare aferentă tipului de entitate la valoarea bugetului gestionat de aceasta din proiect.</w:t>
      </w:r>
    </w:p>
    <w:p w:rsidR="00EC0774" w:rsidRPr="00774608" w:rsidRDefault="00EC0774" w:rsidP="00A17F94">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rsidR="00EC0774" w:rsidRPr="00774608" w:rsidRDefault="00EC0774"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rsidR="00EC0774" w:rsidRPr="00774608" w:rsidRDefault="001155CA" w:rsidP="00E00D6C">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18"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rsidR="00EC0774" w:rsidRPr="00774608" w:rsidRDefault="00EC0774" w:rsidP="00BF61BE">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rsidR="00E710DE" w:rsidRPr="00774608" w:rsidRDefault="00E710DE" w:rsidP="00A17F94">
      <w:pPr>
        <w:spacing w:after="120" w:line="240" w:lineRule="auto"/>
        <w:jc w:val="both"/>
        <w:rPr>
          <w:rFonts w:cs="Calibri"/>
          <w:lang w:val="ro-RO"/>
        </w:rPr>
      </w:pPr>
    </w:p>
    <w:p w:rsidR="00447FBD" w:rsidRPr="00774608" w:rsidRDefault="00447FBD" w:rsidP="00A17F94">
      <w:pPr>
        <w:spacing w:after="120" w:line="240" w:lineRule="auto"/>
        <w:jc w:val="both"/>
        <w:outlineLvl w:val="0"/>
        <w:rPr>
          <w:rFonts w:cs="Calibri"/>
          <w:bCs/>
          <w:lang w:val="ro-RO"/>
        </w:rPr>
        <w:sectPr w:rsidR="00447FBD" w:rsidRPr="00774608" w:rsidSect="0072728A">
          <w:pgSz w:w="11906" w:h="16838" w:code="9"/>
          <w:pgMar w:top="1276" w:right="900" w:bottom="993" w:left="1701" w:header="720" w:footer="720" w:gutter="0"/>
          <w:cols w:space="720"/>
          <w:docGrid w:linePitch="360"/>
        </w:sectPr>
      </w:pPr>
      <w:bookmarkStart w:id="89" w:name="_Toc450555514"/>
      <w:bookmarkStart w:id="90"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447FBD" w:rsidRPr="00774608" w:rsidTr="0019178D">
        <w:trPr>
          <w:trHeight w:val="484"/>
          <w:tblHeader/>
        </w:trPr>
        <w:tc>
          <w:tcPr>
            <w:tcW w:w="851" w:type="pct"/>
            <w:gridSpan w:val="2"/>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lastRenderedPageBreak/>
              <w:t>Categorie de cheltuieli</w:t>
            </w:r>
          </w:p>
        </w:tc>
        <w:tc>
          <w:tcPr>
            <w:tcW w:w="1103" w:type="pct"/>
            <w:gridSpan w:val="2"/>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Subcategorie de cheltuieli</w:t>
            </w:r>
          </w:p>
        </w:tc>
        <w:tc>
          <w:tcPr>
            <w:tcW w:w="1486" w:type="pct"/>
            <w:vMerge w:val="restar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Cheltuieli ce pot fi incluse:</w:t>
            </w:r>
          </w:p>
        </w:tc>
        <w:tc>
          <w:tcPr>
            <w:tcW w:w="1560" w:type="pct"/>
            <w:vMerge w:val="restart"/>
            <w:shd w:val="clear" w:color="auto" w:fill="BFBFBF"/>
            <w:noWrap/>
            <w:vAlign w:val="center"/>
            <w:hideMark/>
          </w:tcPr>
          <w:p w:rsidR="00447FBD" w:rsidRPr="00774608" w:rsidRDefault="008B4EFE" w:rsidP="00224D82">
            <w:pPr>
              <w:widowControl w:val="0"/>
              <w:spacing w:after="120" w:line="240" w:lineRule="auto"/>
              <w:jc w:val="both"/>
              <w:rPr>
                <w:rFonts w:cs="Calibri"/>
                <w:b/>
                <w:bCs/>
                <w:lang w:val="ro-RO"/>
              </w:rPr>
            </w:pPr>
            <w:r w:rsidRPr="00774608">
              <w:rPr>
                <w:rFonts w:cs="Calibri"/>
                <w:b/>
                <w:bCs/>
                <w:lang w:val="ro-RO"/>
              </w:rPr>
              <w:t>Precizări</w:t>
            </w:r>
            <w:r w:rsidR="00447FBD" w:rsidRPr="00774608">
              <w:rPr>
                <w:rFonts w:cs="Calibri"/>
                <w:b/>
                <w:bCs/>
                <w:lang w:val="ro-RO"/>
              </w:rPr>
              <w:t>:</w:t>
            </w:r>
          </w:p>
        </w:tc>
      </w:tr>
      <w:tr w:rsidR="00447FBD" w:rsidRPr="00774608" w:rsidTr="00CF370B">
        <w:trPr>
          <w:trHeight w:val="278"/>
          <w:tblHeader/>
        </w:trPr>
        <w:tc>
          <w:tcPr>
            <w:tcW w:w="228"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Cod</w:t>
            </w:r>
          </w:p>
        </w:tc>
        <w:tc>
          <w:tcPr>
            <w:tcW w:w="623"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Denumire</w:t>
            </w:r>
          </w:p>
        </w:tc>
        <w:tc>
          <w:tcPr>
            <w:tcW w:w="240"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Cod</w:t>
            </w:r>
          </w:p>
        </w:tc>
        <w:tc>
          <w:tcPr>
            <w:tcW w:w="863"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Denumire</w:t>
            </w:r>
          </w:p>
        </w:tc>
        <w:tc>
          <w:tcPr>
            <w:tcW w:w="1486" w:type="pct"/>
            <w:vMerge/>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p>
        </w:tc>
        <w:tc>
          <w:tcPr>
            <w:tcW w:w="1560" w:type="pct"/>
            <w:vMerge/>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p>
        </w:tc>
      </w:tr>
      <w:tr w:rsidR="00447FBD" w:rsidRPr="00774608" w:rsidTr="00CF370B">
        <w:trPr>
          <w:trHeight w:val="595"/>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4</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leasing</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7</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leasing cu achiziție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rate de leasing aferente unui contract care include opțiunea de achiziționare a bunului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La stabilirea costurilor cu ratele de leasing operațional, se va ține cont de limita impusă prin ghidul solicitantului (15.000 euro fără TVA, pentru fiecare mijloc de transport necesar proiectului).</w:t>
            </w:r>
          </w:p>
        </w:tc>
      </w:tr>
      <w:tr w:rsidR="00447FBD" w:rsidRPr="00774608" w:rsidTr="00CF370B">
        <w:trPr>
          <w:trHeight w:val="743"/>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leasing fără achiziție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rate de leasing aferente unui contract care nu include opțiunea de achiziționare a bunului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1793"/>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6</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mijloace de transport</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cu achiziția de mijloace de transport indispensabile pentru atingerea obiectivului </w:t>
            </w:r>
            <w:proofErr w:type="spellStart"/>
            <w:r w:rsidRPr="00774608">
              <w:rPr>
                <w:rFonts w:cs="Calibri"/>
                <w:lang w:val="ro-RO"/>
              </w:rPr>
              <w:t>operatiunii</w:t>
            </w:r>
            <w:proofErr w:type="spellEnd"/>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La stabilirea costurilor pentru achiziția de autovehicule sau alte mijloace de transport </w:t>
            </w:r>
            <w:r w:rsidRPr="00774608">
              <w:rPr>
                <w:rFonts w:cs="Calibri"/>
                <w:b/>
                <w:lang w:val="ro-RO"/>
              </w:rPr>
              <w:t>indispensabile</w:t>
            </w:r>
            <w:r w:rsidRPr="00774608">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447FBD" w:rsidRPr="00774608" w:rsidTr="00CF370B">
        <w:trPr>
          <w:trHeight w:val="1671"/>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informare, comunicare și publicitate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informare, comunicare și publicitate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pentru:</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 xml:space="preserve">elaborarea, </w:t>
            </w:r>
            <w:proofErr w:type="spellStart"/>
            <w:r w:rsidRPr="00774608">
              <w:rPr>
                <w:rFonts w:cs="Calibri"/>
                <w:lang w:val="ro-RO"/>
              </w:rPr>
              <w:t>producţia</w:t>
            </w:r>
            <w:proofErr w:type="spellEnd"/>
            <w:r w:rsidRPr="00774608">
              <w:rPr>
                <w:rFonts w:cs="Calibri"/>
                <w:lang w:val="ro-RO"/>
              </w:rPr>
              <w:t xml:space="preserve"> și distribuția materialelor publicitare </w:t>
            </w:r>
            <w:proofErr w:type="spellStart"/>
            <w:r w:rsidRPr="00774608">
              <w:rPr>
                <w:rFonts w:cs="Calibri"/>
                <w:lang w:val="ro-RO"/>
              </w:rPr>
              <w:t>şi</w:t>
            </w:r>
            <w:proofErr w:type="spellEnd"/>
            <w:r w:rsidRPr="00774608">
              <w:rPr>
                <w:rFonts w:cs="Calibri"/>
                <w:lang w:val="ro-RO"/>
              </w:rPr>
              <w:t xml:space="preserve"> de informare precum și a celor cu difuzarea în mass-media;</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 xml:space="preserve">închirierea </w:t>
            </w:r>
            <w:proofErr w:type="spellStart"/>
            <w:r w:rsidRPr="00774608">
              <w:rPr>
                <w:rFonts w:cs="Calibri"/>
                <w:lang w:val="ro-RO"/>
              </w:rPr>
              <w:t>spaţiului</w:t>
            </w:r>
            <w:proofErr w:type="spellEnd"/>
            <w:r w:rsidRPr="00774608">
              <w:rPr>
                <w:rFonts w:cs="Calibri"/>
                <w:lang w:val="ro-RO"/>
              </w:rPr>
              <w:t xml:space="preserve"> de antenă pentru campanii de mediatizare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conştientizare</w:t>
            </w:r>
            <w:proofErr w:type="spellEnd"/>
            <w:r w:rsidRPr="00774608">
              <w:rPr>
                <w:rFonts w:cs="Calibri"/>
                <w:lang w:val="ro-RO"/>
              </w:rPr>
              <w:t>;</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 xml:space="preserve">conceperea, dezvoltarea/adaptarea de pagini web, </w:t>
            </w:r>
            <w:proofErr w:type="spellStart"/>
            <w:r w:rsidRPr="00774608">
              <w:rPr>
                <w:rFonts w:cs="Calibri"/>
                <w:lang w:val="ro-RO"/>
              </w:rPr>
              <w:t>achiziţia</w:t>
            </w:r>
            <w:proofErr w:type="spellEnd"/>
            <w:r w:rsidRPr="00774608">
              <w:rPr>
                <w:rFonts w:cs="Calibri"/>
                <w:lang w:val="ro-RO"/>
              </w:rPr>
              <w:t xml:space="preserve">, înregistrarea </w:t>
            </w:r>
            <w:proofErr w:type="spellStart"/>
            <w:r w:rsidRPr="00774608">
              <w:rPr>
                <w:rFonts w:cs="Calibri"/>
                <w:lang w:val="ro-RO"/>
              </w:rPr>
              <w:t>şi</w:t>
            </w:r>
            <w:proofErr w:type="spellEnd"/>
            <w:r w:rsidRPr="00774608">
              <w:rPr>
                <w:rFonts w:cs="Calibri"/>
                <w:lang w:val="ro-RO"/>
              </w:rPr>
              <w:t xml:space="preserve"> închirierea domeniului;</w:t>
            </w:r>
          </w:p>
          <w:p w:rsidR="00447FBD" w:rsidRPr="00774608" w:rsidRDefault="00447FBD" w:rsidP="00E00D6C">
            <w:pPr>
              <w:widowControl w:val="0"/>
              <w:numPr>
                <w:ilvl w:val="0"/>
                <w:numId w:val="18"/>
              </w:numPr>
              <w:spacing w:after="120" w:line="240" w:lineRule="auto"/>
              <w:ind w:left="175" w:hanging="142"/>
              <w:jc w:val="both"/>
              <w:rPr>
                <w:rFonts w:cs="Calibri"/>
                <w:lang w:val="ro-RO"/>
              </w:rPr>
            </w:pPr>
            <w:proofErr w:type="spellStart"/>
            <w:r w:rsidRPr="00774608">
              <w:rPr>
                <w:rFonts w:cs="Calibri"/>
                <w:lang w:val="ro-RO"/>
              </w:rPr>
              <w:lastRenderedPageBreak/>
              <w:t>organizararea</w:t>
            </w:r>
            <w:proofErr w:type="spellEnd"/>
            <w:r w:rsidRPr="00774608">
              <w:rPr>
                <w:rFonts w:cs="Calibri"/>
                <w:lang w:val="ro-RO"/>
              </w:rPr>
              <w:t xml:space="preserve"> de evenimente pentru promovarea proiectului(de ex: conferință de diseminare a rezultatelor proiectului).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432"/>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aferente managementului de proiect</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21</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salariale cu echipa de management proiect</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pot </w:t>
            </w:r>
            <w:proofErr w:type="spellStart"/>
            <w:r w:rsidRPr="00774608">
              <w:rPr>
                <w:rFonts w:cs="Calibri"/>
                <w:lang w:val="ro-RO"/>
              </w:rPr>
              <w:t>bugeta</w:t>
            </w:r>
            <w:proofErr w:type="spellEnd"/>
            <w:r w:rsidRPr="00774608">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O persoana nominalizată în echipa de management a proiectului care își desfășoară activitatea în baza unui raport juridic de muncă/contract individual de muncă nu poate avea în același timp și un contract individual de muncă pentru implementarea unor activități aferente proiectului (o </w:t>
            </w:r>
            <w:r w:rsidRPr="00774608">
              <w:rPr>
                <w:rFonts w:cs="Calibri"/>
                <w:b/>
                <w:lang w:val="ro-RO"/>
              </w:rPr>
              <w:t>persoană care are o anumită funcție în cadrul echipei de management a proiectului nu poate fi angajată, indiferent de forma juridică a contractului, să presteze o altă activitate în cadrul proiectului respectiv</w:t>
            </w:r>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Costurile salariale se vor stabili proporțional cu timpul alocat pentru realizarea activităților </w:t>
            </w:r>
            <w:r w:rsidRPr="00774608">
              <w:rPr>
                <w:rFonts w:cs="Calibri"/>
                <w:lang w:val="ro-RO"/>
              </w:rPr>
              <w:lastRenderedPageBreak/>
              <w:t>managementului de proiect, iar calculul se va face astfel: nr. de luni ce vor fi lucrate efectiv x nr. de ore estimat a se lucra efectiv/lună x costul orar, cu respectarea prevederilor legale incidente</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Pentru fiecare membru al echipei se va </w:t>
            </w:r>
            <w:proofErr w:type="spellStart"/>
            <w:r w:rsidRPr="00774608">
              <w:rPr>
                <w:rFonts w:cs="Calibri"/>
                <w:lang w:val="ro-RO"/>
              </w:rPr>
              <w:t>mentiona</w:t>
            </w:r>
            <w:proofErr w:type="spellEnd"/>
            <w:r w:rsidRPr="00774608">
              <w:rPr>
                <w:rFonts w:cs="Calibri"/>
                <w:lang w:val="ro-RO"/>
              </w:rPr>
              <w:t xml:space="preserve"> timpul efectiv alocat implementării proiectului nr. luni si </w:t>
            </w:r>
            <w:proofErr w:type="spellStart"/>
            <w:r w:rsidRPr="00774608">
              <w:rPr>
                <w:rFonts w:cs="Calibri"/>
                <w:lang w:val="ro-RO"/>
              </w:rPr>
              <w:t>numar</w:t>
            </w:r>
            <w:proofErr w:type="spellEnd"/>
            <w:r w:rsidRPr="00774608">
              <w:rPr>
                <w:rFonts w:cs="Calibri"/>
                <w:lang w:val="ro-RO"/>
              </w:rPr>
              <w:t xml:space="preserve"> ore/lună.</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774608">
              <w:rPr>
                <w:rFonts w:cs="Calibri"/>
                <w:lang w:val="ro-RO"/>
              </w:rPr>
              <w:t>şi</w:t>
            </w:r>
            <w:proofErr w:type="spellEnd"/>
            <w:r w:rsidRPr="00774608">
              <w:rPr>
                <w:rFonts w:cs="Calibri"/>
                <w:lang w:val="ro-RO"/>
              </w:rPr>
              <w:t xml:space="preserve"> a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aplicabile și zilele pentru care indemnizația pentru incapacitate temporară de muncă a </w:t>
            </w:r>
            <w:proofErr w:type="spellStart"/>
            <w:r w:rsidRPr="00774608">
              <w:rPr>
                <w:rFonts w:cs="Calibri"/>
                <w:lang w:val="ro-RO"/>
              </w:rPr>
              <w:t>salariaţilor</w:t>
            </w:r>
            <w:proofErr w:type="spellEnd"/>
            <w:r w:rsidRPr="00774608">
              <w:rPr>
                <w:rFonts w:cs="Calibri"/>
                <w:lang w:val="ro-RO"/>
              </w:rPr>
              <w:t xml:space="preserve"> este suportată de angajator.</w:t>
            </w:r>
          </w:p>
        </w:tc>
      </w:tr>
      <w:tr w:rsidR="00447FBD" w:rsidRPr="00774608" w:rsidTr="00CF370B">
        <w:trPr>
          <w:trHeight w:val="866"/>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deplasare pentru personal management proiect</w:t>
            </w:r>
          </w:p>
        </w:tc>
        <w:tc>
          <w:tcPr>
            <w:tcW w:w="1486" w:type="pct"/>
            <w:noWrap/>
            <w:vAlign w:val="center"/>
            <w:hideMark/>
          </w:tcPr>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cheltuieli pentru cazare;</w:t>
            </w:r>
            <w:r w:rsidRPr="00774608">
              <w:rPr>
                <w:rFonts w:cs="Calibri"/>
                <w:lang w:val="ro-RO"/>
              </w:rPr>
              <w:br w:type="page"/>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cheltuieli cu diurna</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br w:type="page"/>
              <w:t xml:space="preserve">cheltuieli pentru transportul persoanelor (inclusiv transportul efectuat cu mijloacele de transport în comun sau taxi, la </w:t>
            </w:r>
            <w:proofErr w:type="spellStart"/>
            <w:r w:rsidRPr="00774608">
              <w:rPr>
                <w:rFonts w:cs="Calibri"/>
                <w:lang w:val="ro-RO"/>
              </w:rPr>
              <w:t>şi</w:t>
            </w:r>
            <w:proofErr w:type="spellEnd"/>
            <w:r w:rsidRPr="00774608">
              <w:rPr>
                <w:rFonts w:cs="Calibri"/>
                <w:lang w:val="ro-RO"/>
              </w:rPr>
              <w:t xml:space="preserve"> de la aeroport, gară, autogară sau port </w:t>
            </w:r>
            <w:proofErr w:type="spellStart"/>
            <w:r w:rsidRPr="00774608">
              <w:rPr>
                <w:rFonts w:cs="Calibri"/>
                <w:lang w:val="ro-RO"/>
              </w:rPr>
              <w:t>şi</w:t>
            </w:r>
            <w:proofErr w:type="spellEnd"/>
            <w:r w:rsidRPr="00774608">
              <w:rPr>
                <w:rFonts w:cs="Calibri"/>
                <w:lang w:val="ro-RO"/>
              </w:rPr>
              <w:t xml:space="preserve"> locul delegării ori locul de cazare, pentru deplasările în străinătate precum </w:t>
            </w:r>
            <w:proofErr w:type="spellStart"/>
            <w:r w:rsidRPr="00774608">
              <w:rPr>
                <w:rFonts w:cs="Calibri"/>
                <w:lang w:val="ro-RO"/>
              </w:rPr>
              <w:t>şi</w:t>
            </w:r>
            <w:proofErr w:type="spellEnd"/>
            <w:r w:rsidRPr="00774608">
              <w:rPr>
                <w:rFonts w:cs="Calibri"/>
                <w:lang w:val="ro-RO"/>
              </w:rPr>
              <w:t xml:space="preserve"> transportul efectuat pe </w:t>
            </w:r>
            <w:proofErr w:type="spellStart"/>
            <w:r w:rsidRPr="00774608">
              <w:rPr>
                <w:rFonts w:cs="Calibri"/>
                <w:lang w:val="ro-RO"/>
              </w:rPr>
              <w:t>distanţa</w:t>
            </w:r>
            <w:proofErr w:type="spellEnd"/>
            <w:r w:rsidRPr="00774608">
              <w:rPr>
                <w:rFonts w:cs="Calibri"/>
                <w:lang w:val="ro-RO"/>
              </w:rPr>
              <w:t xml:space="preserve"> dintre locul </w:t>
            </w:r>
            <w:r w:rsidRPr="00774608">
              <w:rPr>
                <w:rFonts w:cs="Calibri"/>
                <w:lang w:val="ro-RO"/>
              </w:rPr>
              <w:lastRenderedPageBreak/>
              <w:t xml:space="preserve">de cazare </w:t>
            </w:r>
            <w:proofErr w:type="spellStart"/>
            <w:r w:rsidRPr="00774608">
              <w:rPr>
                <w:rFonts w:cs="Calibri"/>
                <w:lang w:val="ro-RO"/>
              </w:rPr>
              <w:t>şi</w:t>
            </w:r>
            <w:proofErr w:type="spellEnd"/>
            <w:r w:rsidRPr="00774608">
              <w:rPr>
                <w:rFonts w:cs="Calibri"/>
                <w:lang w:val="ro-RO"/>
              </w:rPr>
              <w:t xml:space="preserve"> locul delegării);</w:t>
            </w:r>
            <w:r w:rsidRPr="00774608">
              <w:rPr>
                <w:rFonts w:cs="Calibri"/>
                <w:lang w:val="ro-RO"/>
              </w:rPr>
              <w:br w:type="page"/>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 xml:space="preserve">cheltuieli cu taxe </w:t>
            </w:r>
            <w:proofErr w:type="spellStart"/>
            <w:r w:rsidRPr="00774608">
              <w:rPr>
                <w:rFonts w:cs="Calibri"/>
                <w:lang w:val="ro-RO"/>
              </w:rPr>
              <w:t>şi</w:t>
            </w:r>
            <w:proofErr w:type="spellEnd"/>
            <w:r w:rsidRPr="00774608">
              <w:rPr>
                <w:rFonts w:cs="Calibri"/>
                <w:lang w:val="ro-RO"/>
              </w:rPr>
              <w:t xml:space="preserve"> asigurări de călătorie și asigurări medicale aferente deplasării.</w:t>
            </w:r>
          </w:p>
        </w:tc>
        <w:tc>
          <w:tcPr>
            <w:tcW w:w="1560" w:type="pct"/>
            <w:noWrap/>
            <w:vAlign w:val="center"/>
            <w:hideMark/>
          </w:tcPr>
          <w:p w:rsidR="000B26DA" w:rsidRPr="00774608" w:rsidRDefault="00447FBD" w:rsidP="00224D82">
            <w:pPr>
              <w:widowControl w:val="0"/>
              <w:spacing w:after="120" w:line="240" w:lineRule="auto"/>
              <w:jc w:val="both"/>
              <w:rPr>
                <w:rFonts w:cs="Calibri"/>
                <w:lang w:val="ro-RO"/>
              </w:rPr>
            </w:pPr>
            <w:r w:rsidRPr="00774608">
              <w:rPr>
                <w:rFonts w:cs="Calibri"/>
                <w:lang w:val="ro-RO"/>
              </w:rPr>
              <w:lastRenderedPageBreak/>
              <w:t xml:space="preserve">La stabilirea costurilor cu deplasările interne se vor utiliza baremurile impuse de H.G. nr. 1860/2006, cu modificările </w:t>
            </w:r>
            <w:proofErr w:type="spellStart"/>
            <w:r w:rsidRPr="00774608">
              <w:rPr>
                <w:rFonts w:cs="Calibri"/>
                <w:lang w:val="ro-RO"/>
              </w:rPr>
              <w:t>şi</w:t>
            </w:r>
            <w:proofErr w:type="spellEnd"/>
            <w:r w:rsidRPr="00774608">
              <w:rPr>
                <w:rFonts w:cs="Calibri"/>
                <w:lang w:val="ro-RO"/>
              </w:rPr>
              <w:t xml:space="preserve"> completările ulterioare, iar pentru deplasările externe se vor utiliza baremurile impuse de H.G. nr.518/1995, cu modificările </w:t>
            </w:r>
            <w:proofErr w:type="spellStart"/>
            <w:r w:rsidRPr="00774608">
              <w:rPr>
                <w:rFonts w:cs="Calibri"/>
                <w:lang w:val="ro-RO"/>
              </w:rPr>
              <w:t>şi</w:t>
            </w:r>
            <w:proofErr w:type="spellEnd"/>
            <w:r w:rsidRPr="00774608">
              <w:rPr>
                <w:rFonts w:cs="Calibri"/>
                <w:lang w:val="ro-RO"/>
              </w:rPr>
              <w:t xml:space="preserve"> completările ulterioare, </w:t>
            </w:r>
            <w:r w:rsidRPr="00774608">
              <w:rPr>
                <w:rFonts w:cs="Calibri"/>
                <w:b/>
                <w:lang w:val="ro-RO"/>
              </w:rPr>
              <w:t>indiferent de tipul de beneficiar/partener (public/privat)</w:t>
            </w:r>
            <w:r w:rsidRPr="00774608">
              <w:rPr>
                <w:rFonts w:cs="Calibri"/>
                <w:lang w:val="ro-RO"/>
              </w:rPr>
              <w:t>.</w:t>
            </w:r>
          </w:p>
        </w:tc>
      </w:tr>
      <w:tr w:rsidR="00447FBD" w:rsidRPr="00774608" w:rsidTr="00CF370B">
        <w:trPr>
          <w:trHeight w:val="2244"/>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mijloace fixe pentru echipa de management</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w:t>
            </w:r>
            <w:proofErr w:type="spellStart"/>
            <w:r w:rsidRPr="00774608">
              <w:rPr>
                <w:rFonts w:cs="Calibri"/>
                <w:lang w:val="ro-RO"/>
              </w:rPr>
              <w:t>bugetează</w:t>
            </w:r>
            <w:proofErr w:type="spellEnd"/>
            <w:r w:rsidRPr="00774608">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Vă rugăm să aveți în vedere următoarele aspecte atunci când bugetați costuri la acest capitol:                                                                         </w:t>
            </w:r>
            <w:r w:rsidRPr="00774608">
              <w:rPr>
                <w:rFonts w:cs="Calibri"/>
                <w:lang w:val="ro-RO"/>
              </w:rPr>
              <w:br/>
              <w:t>1. Numărul echipamentelor nu poate depăși numărul membrilor echipei de management.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vor </w:t>
            </w:r>
            <w:proofErr w:type="spellStart"/>
            <w:r w:rsidRPr="00774608">
              <w:rPr>
                <w:rFonts w:cs="Calibri"/>
                <w:lang w:val="ro-RO"/>
              </w:rPr>
              <w:t>bugeta</w:t>
            </w:r>
            <w:proofErr w:type="spellEnd"/>
            <w:r w:rsidRPr="00774608">
              <w:rPr>
                <w:rFonts w:cs="Calibri"/>
                <w:lang w:val="ro-RO"/>
              </w:rPr>
              <w:t xml:space="preserve"> costuri aferente echipamentelor/perifericelor de calcul </w:t>
            </w:r>
            <w:r w:rsidRPr="00774608">
              <w:rPr>
                <w:rFonts w:cs="Calibri"/>
                <w:b/>
                <w:lang w:val="ro-RO"/>
              </w:rPr>
              <w:t>numai în cazul în care sunt absolut necesare desfășurării activității echipei de management și dacă membrii acesteia nu beneficiază de echipament de calcul/ periferice</w:t>
            </w:r>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2. Costurile bugetate la aceasta linie bugetară sunt cheltuieli de tip FEDR.</w:t>
            </w:r>
          </w:p>
        </w:tc>
      </w:tr>
      <w:tr w:rsidR="00447FBD" w:rsidRPr="00774608" w:rsidTr="00CF370B">
        <w:trPr>
          <w:trHeight w:val="1090"/>
        </w:trPr>
        <w:tc>
          <w:tcPr>
            <w:tcW w:w="228" w:type="pct"/>
            <w:noWrap/>
            <w:vAlign w:val="center"/>
          </w:tcPr>
          <w:p w:rsidR="00447FBD" w:rsidRPr="00774608" w:rsidRDefault="00447FBD" w:rsidP="00224D82">
            <w:pPr>
              <w:widowControl w:val="0"/>
              <w:spacing w:after="120" w:line="240" w:lineRule="auto"/>
              <w:jc w:val="both"/>
              <w:rPr>
                <w:rFonts w:cs="Calibri"/>
                <w:lang w:val="ro-RO"/>
              </w:rPr>
            </w:pPr>
          </w:p>
        </w:tc>
        <w:tc>
          <w:tcPr>
            <w:tcW w:w="623" w:type="pct"/>
            <w:noWrap/>
            <w:vAlign w:val="center"/>
          </w:tcPr>
          <w:p w:rsidR="00447FBD" w:rsidRPr="00774608" w:rsidRDefault="00447FBD" w:rsidP="00224D82">
            <w:pPr>
              <w:widowControl w:val="0"/>
              <w:spacing w:after="120" w:line="240" w:lineRule="auto"/>
              <w:jc w:val="both"/>
              <w:rPr>
                <w:rFonts w:cs="Calibri"/>
                <w:lang w:val="ro-RO"/>
              </w:rPr>
            </w:pPr>
          </w:p>
        </w:tc>
        <w:tc>
          <w:tcPr>
            <w:tcW w:w="24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27</w:t>
            </w:r>
          </w:p>
        </w:tc>
        <w:tc>
          <w:tcPr>
            <w:tcW w:w="863"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obiecte de inventar  materiale consumabile pentru echipa de management</w:t>
            </w:r>
          </w:p>
        </w:tc>
        <w:tc>
          <w:tcPr>
            <w:tcW w:w="1486" w:type="pct"/>
            <w:noWrap/>
            <w:vAlign w:val="center"/>
          </w:tcPr>
          <w:p w:rsidR="00447FBD" w:rsidRPr="00774608" w:rsidRDefault="00447FBD" w:rsidP="00224D82">
            <w:pPr>
              <w:widowControl w:val="0"/>
              <w:spacing w:after="120" w:line="240" w:lineRule="auto"/>
              <w:jc w:val="both"/>
              <w:rPr>
                <w:rFonts w:cs="Calibri"/>
                <w:lang w:val="ro-RO"/>
              </w:rPr>
            </w:pPr>
          </w:p>
        </w:tc>
        <w:tc>
          <w:tcPr>
            <w:tcW w:w="156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În această subcategorie se vor </w:t>
            </w:r>
            <w:proofErr w:type="spellStart"/>
            <w:r w:rsidRPr="00774608">
              <w:rPr>
                <w:rFonts w:cs="Calibri"/>
                <w:lang w:val="ro-RO"/>
              </w:rPr>
              <w:t>bugeta</w:t>
            </w:r>
            <w:proofErr w:type="spellEnd"/>
            <w:r w:rsidRPr="00774608">
              <w:rPr>
                <w:rFonts w:cs="Calibri"/>
                <w:lang w:val="ro-RO"/>
              </w:rPr>
              <w:t xml:space="preserve"> numai costurile aferente materialelor consumabile necesare desfășurării activității de management a proiectului.</w:t>
            </w:r>
          </w:p>
        </w:tc>
      </w:tr>
      <w:tr w:rsidR="00447FBD" w:rsidRPr="00774608" w:rsidTr="00CF370B">
        <w:trPr>
          <w:trHeight w:val="2244"/>
        </w:trPr>
        <w:tc>
          <w:tcPr>
            <w:tcW w:w="228" w:type="pct"/>
            <w:noWrap/>
            <w:vAlign w:val="center"/>
          </w:tcPr>
          <w:p w:rsidR="00447FBD" w:rsidRPr="00774608" w:rsidRDefault="00447FBD" w:rsidP="00224D82">
            <w:pPr>
              <w:widowControl w:val="0"/>
              <w:spacing w:after="120" w:line="240" w:lineRule="auto"/>
              <w:jc w:val="both"/>
              <w:rPr>
                <w:rFonts w:cs="Calibri"/>
                <w:lang w:val="ro-RO"/>
              </w:rPr>
            </w:pPr>
          </w:p>
        </w:tc>
        <w:tc>
          <w:tcPr>
            <w:tcW w:w="623" w:type="pct"/>
            <w:noWrap/>
            <w:vAlign w:val="center"/>
          </w:tcPr>
          <w:p w:rsidR="00447FBD" w:rsidRPr="00774608" w:rsidRDefault="00447FBD" w:rsidP="00224D82">
            <w:pPr>
              <w:widowControl w:val="0"/>
              <w:spacing w:after="120" w:line="240" w:lineRule="auto"/>
              <w:jc w:val="both"/>
              <w:rPr>
                <w:rFonts w:cs="Calibri"/>
                <w:lang w:val="ro-RO"/>
              </w:rPr>
            </w:pPr>
          </w:p>
        </w:tc>
        <w:tc>
          <w:tcPr>
            <w:tcW w:w="24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28</w:t>
            </w:r>
          </w:p>
        </w:tc>
        <w:tc>
          <w:tcPr>
            <w:tcW w:w="863"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mijloace de transport pentru managementul operațiunii</w:t>
            </w:r>
          </w:p>
        </w:tc>
        <w:tc>
          <w:tcPr>
            <w:tcW w:w="1486" w:type="pct"/>
            <w:noWrap/>
            <w:vAlign w:val="center"/>
          </w:tcPr>
          <w:p w:rsidR="00447FBD" w:rsidRPr="00774608" w:rsidRDefault="00447FBD" w:rsidP="00224D82">
            <w:pPr>
              <w:widowControl w:val="0"/>
              <w:spacing w:after="120" w:line="240" w:lineRule="auto"/>
              <w:jc w:val="both"/>
              <w:rPr>
                <w:rFonts w:cs="Calibri"/>
                <w:lang w:val="ro-RO"/>
              </w:rPr>
            </w:pPr>
          </w:p>
        </w:tc>
        <w:tc>
          <w:tcPr>
            <w:tcW w:w="156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1.La aceasta  categorie de cheltuieli se stabilesc costuri pentru achiziția de autovehicule sau alte mijloace de transport numai </w:t>
            </w:r>
            <w:r w:rsidRPr="00774608">
              <w:rPr>
                <w:rFonts w:cs="Calibri"/>
                <w:b/>
                <w:lang w:val="ro-RO"/>
              </w:rPr>
              <w:t>dacă acestea sunt absolut indispensabile managementului proiectului</w:t>
            </w:r>
            <w:r w:rsidRPr="00774608">
              <w:rPr>
                <w:rFonts w:cs="Calibri"/>
                <w:lang w:val="ro-RO"/>
              </w:rPr>
              <w:t>, dacă echipa de management urmează să desfășoare activități care sunt dependente de existența unui autovehicul sau alt mijloc de transport.</w:t>
            </w:r>
          </w:p>
          <w:p w:rsidR="00447FBD" w:rsidRPr="00774608" w:rsidRDefault="00447FBD" w:rsidP="00224D82">
            <w:pPr>
              <w:widowControl w:val="0"/>
              <w:spacing w:after="120" w:line="240" w:lineRule="auto"/>
              <w:jc w:val="both"/>
              <w:rPr>
                <w:rFonts w:cs="Calibri"/>
                <w:lang w:val="ro-RO"/>
              </w:rPr>
            </w:pPr>
            <w:r w:rsidRPr="00774608">
              <w:rPr>
                <w:rFonts w:cs="Calibri"/>
                <w:lang w:val="ro-RO"/>
              </w:rPr>
              <w:t>2.La estimarea costurilor se va ține cont de limita stabilită prin H.G. nr. 399/2015, respectiv  15.000 euro fără TVA pentru fiecare autovehicul sau alt mijloc de transport.</w:t>
            </w:r>
          </w:p>
        </w:tc>
      </w:tr>
      <w:tr w:rsidR="00447FBD" w:rsidRPr="00774608" w:rsidTr="00CF370B">
        <w:trPr>
          <w:trHeight w:val="416"/>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generale de administrație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30</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generale de </w:t>
            </w:r>
            <w:proofErr w:type="spellStart"/>
            <w:r w:rsidRPr="00774608">
              <w:rPr>
                <w:rFonts w:cs="Calibri"/>
                <w:lang w:val="ro-RO"/>
              </w:rPr>
              <w:t>administratie</w:t>
            </w:r>
            <w:proofErr w:type="spellEnd"/>
            <w:r w:rsidRPr="00774608">
              <w:rPr>
                <w:rFonts w:cs="Calibri"/>
                <w:lang w:val="ro-RO"/>
              </w:rPr>
              <w:t xml:space="preserve"> (indirecte pe baza de costuri reale)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pentru:</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plata </w:t>
            </w:r>
            <w:proofErr w:type="spellStart"/>
            <w:r w:rsidRPr="00774608">
              <w:rPr>
                <w:rFonts w:cs="Calibri"/>
                <w:lang w:val="ro-RO"/>
              </w:rPr>
              <w:t>utilităţilor</w:t>
            </w:r>
            <w:proofErr w:type="spellEnd"/>
            <w:r w:rsidRPr="00774608">
              <w:rPr>
                <w:rFonts w:cs="Calibri"/>
                <w:lang w:val="ro-RO"/>
              </w:rPr>
              <w:t>: energie termică, energie electrică, apă, canalizare, salubritate, gaze naturale.</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telefon, fax, servicii </w:t>
            </w:r>
            <w:proofErr w:type="spellStart"/>
            <w:r w:rsidRPr="00774608">
              <w:rPr>
                <w:rFonts w:cs="Calibri"/>
                <w:lang w:val="ro-RO"/>
              </w:rPr>
              <w:t>poştale</w:t>
            </w:r>
            <w:proofErr w:type="spellEnd"/>
            <w:r w:rsidRPr="00774608">
              <w:rPr>
                <w:rFonts w:cs="Calibri"/>
                <w:lang w:val="ro-RO"/>
              </w:rPr>
              <w:t xml:space="preserve">, curierat rapid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reţele</w:t>
            </w:r>
            <w:proofErr w:type="spellEnd"/>
            <w:r w:rsidRPr="00774608">
              <w:rPr>
                <w:rFonts w:cs="Calibri"/>
                <w:lang w:val="ro-RO"/>
              </w:rPr>
              <w:t xml:space="preserve"> de </w:t>
            </w:r>
            <w:proofErr w:type="spellStart"/>
            <w:r w:rsidRPr="00774608">
              <w:rPr>
                <w:rFonts w:cs="Calibri"/>
                <w:lang w:val="ro-RO"/>
              </w:rPr>
              <w:t>comunicaţii</w:t>
            </w:r>
            <w:proofErr w:type="spellEnd"/>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w:t>
            </w:r>
            <w:proofErr w:type="spellStart"/>
            <w:r w:rsidRPr="00774608">
              <w:rPr>
                <w:rFonts w:cs="Calibri"/>
                <w:lang w:val="ro-RO"/>
              </w:rPr>
              <w:t>achiziţionarea</w:t>
            </w:r>
            <w:proofErr w:type="spellEnd"/>
            <w:r w:rsidRPr="00774608">
              <w:rPr>
                <w:rFonts w:cs="Calibri"/>
                <w:lang w:val="ro-RO"/>
              </w:rPr>
              <w:t xml:space="preserve"> materialelor </w:t>
            </w:r>
            <w:proofErr w:type="spellStart"/>
            <w:r w:rsidRPr="00774608">
              <w:rPr>
                <w:rFonts w:cs="Calibri"/>
                <w:lang w:val="ro-RO"/>
              </w:rPr>
              <w:t>şi</w:t>
            </w:r>
            <w:proofErr w:type="spellEnd"/>
            <w:r w:rsidRPr="00774608">
              <w:rPr>
                <w:rFonts w:cs="Calibri"/>
                <w:lang w:val="ro-RO"/>
              </w:rPr>
              <w:t xml:space="preserve"> serviciilor de </w:t>
            </w:r>
            <w:proofErr w:type="spellStart"/>
            <w:r w:rsidRPr="00774608">
              <w:rPr>
                <w:rFonts w:cs="Calibri"/>
                <w:lang w:val="ro-RO"/>
              </w:rPr>
              <w:t>întreţinere</w:t>
            </w:r>
            <w:proofErr w:type="spellEnd"/>
            <w:r w:rsidRPr="00774608">
              <w:rPr>
                <w:rFonts w:cs="Calibri"/>
                <w:lang w:val="ro-RO"/>
              </w:rPr>
              <w:t xml:space="preserve"> a sediului.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serviciile de instalare, </w:t>
            </w:r>
            <w:proofErr w:type="spellStart"/>
            <w:r w:rsidRPr="00774608">
              <w:rPr>
                <w:rFonts w:cs="Calibri"/>
                <w:lang w:val="ro-RO"/>
              </w:rPr>
              <w:t>întreţinere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reparaţii</w:t>
            </w:r>
            <w:proofErr w:type="spellEnd"/>
            <w:r w:rsidRPr="00774608">
              <w:rPr>
                <w:rFonts w:cs="Calibri"/>
                <w:lang w:val="ro-RO"/>
              </w:rPr>
              <w:t xml:space="preserve"> echipamente, cu </w:t>
            </w:r>
            <w:proofErr w:type="spellStart"/>
            <w:r w:rsidRPr="00774608">
              <w:rPr>
                <w:rFonts w:cs="Calibri"/>
                <w:lang w:val="ro-RO"/>
              </w:rPr>
              <w:t>excepţia</w:t>
            </w:r>
            <w:proofErr w:type="spellEnd"/>
            <w:r w:rsidRPr="00774608">
              <w:rPr>
                <w:rFonts w:cs="Calibri"/>
                <w:lang w:val="ro-RO"/>
              </w:rPr>
              <w:t xml:space="preserve"> celor informatice </w:t>
            </w:r>
            <w:proofErr w:type="spellStart"/>
            <w:r w:rsidRPr="00774608">
              <w:rPr>
                <w:rFonts w:cs="Calibri"/>
                <w:lang w:val="ro-RO"/>
              </w:rPr>
              <w:t>şi</w:t>
            </w:r>
            <w:proofErr w:type="spellEnd"/>
            <w:r w:rsidRPr="00774608">
              <w:rPr>
                <w:rFonts w:cs="Calibri"/>
                <w:lang w:val="ro-RO"/>
              </w:rPr>
              <w:t xml:space="preserve"> de </w:t>
            </w:r>
            <w:proofErr w:type="spellStart"/>
            <w:r w:rsidRPr="00774608">
              <w:rPr>
                <w:rFonts w:cs="Calibri"/>
                <w:lang w:val="ro-RO"/>
              </w:rPr>
              <w:t>comunicaţii</w:t>
            </w:r>
            <w:proofErr w:type="spellEnd"/>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serviciile de </w:t>
            </w:r>
            <w:proofErr w:type="spellStart"/>
            <w:r w:rsidRPr="00774608">
              <w:rPr>
                <w:rFonts w:cs="Calibri"/>
                <w:lang w:val="ro-RO"/>
              </w:rPr>
              <w:t>întreţinere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reparaţii</w:t>
            </w:r>
            <w:proofErr w:type="spellEnd"/>
            <w:r w:rsidRPr="00774608">
              <w:rPr>
                <w:rFonts w:cs="Calibri"/>
                <w:lang w:val="ro-RO"/>
              </w:rPr>
              <w:t xml:space="preserve"> mijloace de transport.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w:t>
            </w:r>
            <w:proofErr w:type="spellStart"/>
            <w:r w:rsidRPr="00774608">
              <w:rPr>
                <w:rFonts w:cs="Calibri"/>
                <w:lang w:val="ro-RO"/>
              </w:rPr>
              <w:t>achiziţionarea</w:t>
            </w:r>
            <w:proofErr w:type="spellEnd"/>
            <w:r w:rsidRPr="00774608">
              <w:rPr>
                <w:rFonts w:cs="Calibri"/>
                <w:lang w:val="ro-RO"/>
              </w:rPr>
              <w:t xml:space="preserve"> </w:t>
            </w:r>
            <w:proofErr w:type="spellStart"/>
            <w:r w:rsidRPr="00774608">
              <w:rPr>
                <w:rFonts w:cs="Calibri"/>
                <w:lang w:val="ro-RO"/>
              </w:rPr>
              <w:t>carburanţilor</w:t>
            </w:r>
            <w:proofErr w:type="spellEnd"/>
            <w:r w:rsidRPr="00774608">
              <w:rPr>
                <w:rFonts w:cs="Calibri"/>
                <w:lang w:val="ro-RO"/>
              </w:rPr>
              <w:t xml:space="preserve">, </w:t>
            </w:r>
            <w:proofErr w:type="spellStart"/>
            <w:r w:rsidRPr="00774608">
              <w:rPr>
                <w:rFonts w:cs="Calibri"/>
                <w:lang w:val="ro-RO"/>
              </w:rPr>
              <w:t>lubrifianţilor</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consumabilelor pentru mijloacele de </w:t>
            </w:r>
            <w:r w:rsidRPr="00774608">
              <w:rPr>
                <w:rFonts w:cs="Calibri"/>
                <w:lang w:val="ro-RO"/>
              </w:rPr>
              <w:lastRenderedPageBreak/>
              <w:t>transport.</w:t>
            </w:r>
          </w:p>
          <w:p w:rsidR="00447FBD" w:rsidRPr="00774608" w:rsidRDefault="00447FBD" w:rsidP="00224D82">
            <w:pPr>
              <w:widowControl w:val="0"/>
              <w:spacing w:after="120" w:line="240" w:lineRule="auto"/>
              <w:jc w:val="both"/>
              <w:rPr>
                <w:rFonts w:cs="Calibri"/>
                <w:lang w:val="ro-RO"/>
              </w:rPr>
            </w:pPr>
            <w:r w:rsidRPr="00774608">
              <w:rPr>
                <w:rFonts w:cs="Calibri"/>
                <w:lang w:val="ro-RO"/>
              </w:rPr>
              <w:t>• arhivare.</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w:t>
            </w:r>
            <w:proofErr w:type="spellStart"/>
            <w:r w:rsidRPr="00774608">
              <w:rPr>
                <w:rFonts w:cs="Calibri"/>
                <w:lang w:val="ro-RO"/>
              </w:rPr>
              <w:t>inchirierea</w:t>
            </w:r>
            <w:proofErr w:type="spellEnd"/>
            <w:r w:rsidRPr="00774608">
              <w:rPr>
                <w:rFonts w:cs="Calibri"/>
                <w:lang w:val="ro-RO"/>
              </w:rPr>
              <w:t xml:space="preserve"> sediului, </w:t>
            </w:r>
            <w:proofErr w:type="spellStart"/>
            <w:r w:rsidRPr="00774608">
              <w:rPr>
                <w:rFonts w:cs="Calibri"/>
                <w:lang w:val="ro-RO"/>
              </w:rPr>
              <w:t>instalaţiilor</w:t>
            </w:r>
            <w:proofErr w:type="spellEnd"/>
            <w:r w:rsidRPr="00774608">
              <w:rPr>
                <w:rFonts w:cs="Calibri"/>
                <w:lang w:val="ro-RO"/>
              </w:rPr>
              <w:t xml:space="preserve">, echipamentelor, mobilierului, efectuate în ansamblu sau separat destinate </w:t>
            </w:r>
            <w:proofErr w:type="spellStart"/>
            <w:r w:rsidRPr="00774608">
              <w:rPr>
                <w:rFonts w:cs="Calibri"/>
                <w:lang w:val="ro-RO"/>
              </w:rPr>
              <w:t>activităţii</w:t>
            </w:r>
            <w:proofErr w:type="spellEnd"/>
            <w:r w:rsidRPr="00774608">
              <w:rPr>
                <w:rFonts w:cs="Calibri"/>
                <w:lang w:val="ro-RO"/>
              </w:rPr>
              <w:t xml:space="preserve"> zilnice a beneficiarului.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servicii de pază/de administrare /salubrizare/igienizare a spațiului alocat proiectului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plata primelor de asigurare pentru clădiri, </w:t>
            </w:r>
            <w:proofErr w:type="spellStart"/>
            <w:r w:rsidRPr="00774608">
              <w:rPr>
                <w:rFonts w:cs="Calibri"/>
                <w:lang w:val="ro-RO"/>
              </w:rPr>
              <w:t>spaţii</w:t>
            </w:r>
            <w:proofErr w:type="spellEnd"/>
            <w:r w:rsidRPr="00774608">
              <w:rPr>
                <w:rFonts w:cs="Calibri"/>
                <w:lang w:val="ro-RO"/>
              </w:rPr>
              <w:t xml:space="preserve">, </w:t>
            </w:r>
            <w:proofErr w:type="spellStart"/>
            <w:r w:rsidRPr="00774608">
              <w:rPr>
                <w:rFonts w:cs="Calibri"/>
                <w:lang w:val="ro-RO"/>
              </w:rPr>
              <w:t>instalaţii</w:t>
            </w:r>
            <w:proofErr w:type="spellEnd"/>
            <w:r w:rsidRPr="00774608">
              <w:rPr>
                <w:rFonts w:cs="Calibri"/>
                <w:lang w:val="ro-RO"/>
              </w:rPr>
              <w:t xml:space="preserve">, mobilier, mijloace de transport </w:t>
            </w:r>
            <w:proofErr w:type="spellStart"/>
            <w:r w:rsidRPr="00774608">
              <w:rPr>
                <w:rFonts w:cs="Calibri"/>
                <w:lang w:val="ro-RO"/>
              </w:rPr>
              <w:t>şi</w:t>
            </w:r>
            <w:proofErr w:type="spellEnd"/>
            <w:r w:rsidRPr="00774608">
              <w:rPr>
                <w:rFonts w:cs="Calibri"/>
                <w:lang w:val="ro-RO"/>
              </w:rPr>
              <w:t xml:space="preserve"> echipamente, dacă bunurile respective sunt în proprietatea beneficiarului </w:t>
            </w:r>
            <w:proofErr w:type="spellStart"/>
            <w:r w:rsidRPr="00774608">
              <w:rPr>
                <w:rFonts w:cs="Calibri"/>
                <w:lang w:val="ro-RO"/>
              </w:rPr>
              <w:t>şi</w:t>
            </w:r>
            <w:proofErr w:type="spellEnd"/>
            <w:r w:rsidRPr="00774608">
              <w:rPr>
                <w:rFonts w:cs="Calibri"/>
                <w:lang w:val="ro-RO"/>
              </w:rPr>
              <w:t xml:space="preserve"> nu au fost </w:t>
            </w:r>
            <w:proofErr w:type="spellStart"/>
            <w:r w:rsidRPr="00774608">
              <w:rPr>
                <w:rFonts w:cs="Calibri"/>
                <w:lang w:val="ro-RO"/>
              </w:rPr>
              <w:t>achiziţionate</w:t>
            </w:r>
            <w:proofErr w:type="spellEnd"/>
            <w:r w:rsidRPr="00774608">
              <w:rPr>
                <w:rFonts w:cs="Calibri"/>
                <w:lang w:val="ro-RO"/>
              </w:rPr>
              <w:t xml:space="preserve"> din fonduri nerambursabile acordate de Uniunea Europeană </w:t>
            </w:r>
            <w:proofErr w:type="spellStart"/>
            <w:r w:rsidRPr="00774608">
              <w:rPr>
                <w:rFonts w:cs="Calibri"/>
                <w:lang w:val="ro-RO"/>
              </w:rPr>
              <w:t>şi</w:t>
            </w:r>
            <w:proofErr w:type="spellEnd"/>
            <w:r w:rsidRPr="00774608">
              <w:rPr>
                <w:rFonts w:cs="Calibri"/>
                <w:lang w:val="ro-RO"/>
              </w:rPr>
              <w:t xml:space="preserve"> dacă asigurarea acestora contribuie la realizarea obiectivului proiectului.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costuri aferente asigurării de răspundere civilă auto (RCA), </w:t>
            </w:r>
            <w:proofErr w:type="spellStart"/>
            <w:r w:rsidRPr="00774608">
              <w:rPr>
                <w:rFonts w:cs="Calibri"/>
                <w:lang w:val="ro-RO"/>
              </w:rPr>
              <w:t>rovinete</w:t>
            </w:r>
            <w:proofErr w:type="spellEnd"/>
            <w:r w:rsidRPr="00774608">
              <w:rPr>
                <w:rFonts w:cs="Calibri"/>
                <w:lang w:val="ro-RO"/>
              </w:rPr>
              <w:t>, taxe de înmatriculare, taxa de mediu, pentru mijloacele de transport utilizate în scopul proiectului.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Vă rugăm să aveți în vedere următoarele aspecte atunci când bugetați costuri la acest capitol:</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1. La stabilirea costurilor serviciilor de </w:t>
            </w:r>
            <w:proofErr w:type="spellStart"/>
            <w:r w:rsidRPr="00774608">
              <w:rPr>
                <w:rFonts w:cs="Calibri"/>
                <w:lang w:val="ro-RO"/>
              </w:rPr>
              <w:t>comunicaţii</w:t>
            </w:r>
            <w:proofErr w:type="spellEnd"/>
            <w:r w:rsidRPr="00774608">
              <w:rPr>
                <w:rFonts w:cs="Calibri"/>
                <w:lang w:val="ro-RO"/>
              </w:rPr>
              <w:t xml:space="preserve"> și date (telefonie, internet, servicii </w:t>
            </w:r>
            <w:proofErr w:type="spellStart"/>
            <w:r w:rsidRPr="00774608">
              <w:rPr>
                <w:rFonts w:cs="Calibri"/>
                <w:lang w:val="ro-RO"/>
              </w:rPr>
              <w:t>poştale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774608">
              <w:rPr>
                <w:rFonts w:cs="Calibri"/>
                <w:lang w:val="ro-RO"/>
              </w:rPr>
              <w:t>activităţilor</w:t>
            </w:r>
            <w:proofErr w:type="spellEnd"/>
            <w:r w:rsidRPr="00774608">
              <w:rPr>
                <w:rFonts w:cs="Calibri"/>
                <w:lang w:val="ro-RO"/>
              </w:rPr>
              <w:t xml:space="preserve"> din proiect pe toată perioada de implementare.</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2. costurile </w:t>
            </w:r>
            <w:proofErr w:type="spellStart"/>
            <w:r w:rsidRPr="00774608">
              <w:rPr>
                <w:rFonts w:cs="Calibri"/>
                <w:lang w:val="ro-RO"/>
              </w:rPr>
              <w:t>utilităţilor</w:t>
            </w:r>
            <w:proofErr w:type="spellEnd"/>
            <w:r w:rsidRPr="00774608">
              <w:rPr>
                <w:rFonts w:cs="Calibri"/>
                <w:lang w:val="ro-RO"/>
              </w:rPr>
              <w:t xml:space="preserve"> aferente spațiului utilizat pentru desfășurarea activităților proiectului (energia electrică, apă, canalizare, salubritate, energie termică, gaze naturale) se vor calcula astfel:</w:t>
            </w:r>
          </w:p>
          <w:p w:rsidR="00224D82" w:rsidRPr="00774608" w:rsidRDefault="00447FBD" w:rsidP="00224D82">
            <w:pPr>
              <w:widowControl w:val="0"/>
              <w:spacing w:after="120" w:line="240" w:lineRule="auto"/>
              <w:jc w:val="both"/>
              <w:rPr>
                <w:rFonts w:cs="Calibri"/>
                <w:lang w:val="ro-RO"/>
              </w:rPr>
            </w:pPr>
            <w:r w:rsidRPr="00774608">
              <w:rPr>
                <w:rFonts w:cs="Calibri"/>
                <w:lang w:val="ro-RO"/>
              </w:rPr>
              <w:t xml:space="preserve">2.1 </w:t>
            </w:r>
            <w:r w:rsidRPr="00774608">
              <w:rPr>
                <w:rFonts w:cs="Calibri"/>
                <w:b/>
                <w:lang w:val="ro-RO"/>
              </w:rPr>
              <w:t xml:space="preserve">gradul de repartizare a cheltuielilor pe </w:t>
            </w:r>
            <w:r w:rsidRPr="00774608">
              <w:rPr>
                <w:rFonts w:cs="Calibri"/>
                <w:b/>
                <w:lang w:val="ro-RO"/>
              </w:rPr>
              <w:lastRenderedPageBreak/>
              <w:t>proiect</w:t>
            </w:r>
            <w:r w:rsidRPr="00774608">
              <w:rPr>
                <w:rFonts w:cs="Calibri"/>
                <w:lang w:val="ro-RO"/>
              </w:rPr>
              <w:t xml:space="preserve"> </w:t>
            </w:r>
            <w:r w:rsidRPr="00774608">
              <w:rPr>
                <w:rFonts w:cs="Calibri"/>
                <w:b/>
                <w:lang w:val="ro-RO"/>
              </w:rPr>
              <w:t>%</w:t>
            </w:r>
            <w:r w:rsidRPr="00774608">
              <w:rPr>
                <w:rFonts w:cs="Calibri"/>
                <w:lang w:val="ro-RO"/>
              </w:rPr>
              <w:t xml:space="preserve"> = gradul de utilizare a </w:t>
            </w:r>
            <w:proofErr w:type="spellStart"/>
            <w:r w:rsidRPr="00774608">
              <w:rPr>
                <w:rFonts w:cs="Calibri"/>
                <w:lang w:val="ro-RO"/>
              </w:rPr>
              <w:t>spaţiului</w:t>
            </w:r>
            <w:proofErr w:type="spellEnd"/>
            <w:r w:rsidRPr="00774608">
              <w:rPr>
                <w:rFonts w:cs="Calibri"/>
                <w:lang w:val="ro-RO"/>
              </w:rPr>
              <w:t xml:space="preserve"> în cadrul proiectului x % din timpul de folosire a </w:t>
            </w:r>
            <w:proofErr w:type="spellStart"/>
            <w:r w:rsidRPr="00774608">
              <w:rPr>
                <w:rFonts w:cs="Calibri"/>
                <w:lang w:val="ro-RO"/>
              </w:rPr>
              <w:t>spaţiului</w:t>
            </w:r>
            <w:proofErr w:type="spellEnd"/>
            <w:r w:rsidRPr="00774608">
              <w:rPr>
                <w:rFonts w:cs="Calibri"/>
                <w:lang w:val="ro-RO"/>
              </w:rPr>
              <w:t xml:space="preserve"> pentru proiect </w:t>
            </w:r>
            <w:r w:rsidRPr="00774608">
              <w:rPr>
                <w:rFonts w:cs="Calibri"/>
                <w:lang w:val="ro-RO"/>
              </w:rPr>
              <w:br/>
              <w:t xml:space="preserve"> 2.2 </w:t>
            </w:r>
            <w:r w:rsidRPr="00774608">
              <w:rPr>
                <w:rFonts w:cs="Calibri"/>
                <w:b/>
                <w:lang w:val="ro-RO"/>
              </w:rPr>
              <w:t xml:space="preserve">gradul de utilizare a </w:t>
            </w:r>
            <w:proofErr w:type="spellStart"/>
            <w:r w:rsidRPr="00774608">
              <w:rPr>
                <w:rFonts w:cs="Calibri"/>
                <w:b/>
                <w:lang w:val="ro-RO"/>
              </w:rPr>
              <w:t>spaţiului</w:t>
            </w:r>
            <w:proofErr w:type="spellEnd"/>
            <w:r w:rsidRPr="00774608">
              <w:rPr>
                <w:rFonts w:cs="Calibri"/>
                <w:b/>
                <w:lang w:val="ro-RO"/>
              </w:rPr>
              <w:t>%</w:t>
            </w:r>
            <w:r w:rsidRPr="00774608">
              <w:rPr>
                <w:rFonts w:cs="Calibri"/>
                <w:lang w:val="ro-RO"/>
              </w:rPr>
              <w:t xml:space="preserve"> = </w:t>
            </w:r>
            <w:proofErr w:type="spellStart"/>
            <w:r w:rsidRPr="00774608">
              <w:rPr>
                <w:rFonts w:cs="Calibri"/>
                <w:lang w:val="ro-RO"/>
              </w:rPr>
              <w:t>spaţiu</w:t>
            </w:r>
            <w:proofErr w:type="spellEnd"/>
            <w:r w:rsidRPr="00774608">
              <w:rPr>
                <w:rFonts w:cs="Calibri"/>
                <w:lang w:val="ro-RO"/>
              </w:rPr>
              <w:t xml:space="preserve"> folosit pentru proiect / total </w:t>
            </w:r>
            <w:proofErr w:type="spellStart"/>
            <w:r w:rsidRPr="00774608">
              <w:rPr>
                <w:rFonts w:cs="Calibri"/>
                <w:lang w:val="ro-RO"/>
              </w:rPr>
              <w:t>spaţiu</w:t>
            </w:r>
            <w:proofErr w:type="spellEnd"/>
            <w:r w:rsidRPr="00774608">
              <w:rPr>
                <w:rFonts w:cs="Calibri"/>
                <w:lang w:val="ro-RO"/>
              </w:rPr>
              <w:t xml:space="preserve"> x 100</w:t>
            </w:r>
            <w:r w:rsidRPr="00774608">
              <w:rPr>
                <w:rFonts w:cs="Calibri"/>
                <w:lang w:val="ro-RO"/>
              </w:rPr>
              <w:br/>
              <w:t xml:space="preserve">2.3 % din timpul de folosire a </w:t>
            </w:r>
            <w:proofErr w:type="spellStart"/>
            <w:r w:rsidRPr="00774608">
              <w:rPr>
                <w:rFonts w:cs="Calibri"/>
                <w:lang w:val="ro-RO"/>
              </w:rPr>
              <w:t>spaţiului</w:t>
            </w:r>
            <w:proofErr w:type="spellEnd"/>
            <w:r w:rsidRPr="00774608">
              <w:rPr>
                <w:rFonts w:cs="Calibri"/>
                <w:lang w:val="ro-RO"/>
              </w:rPr>
              <w:t xml:space="preserve"> = timpul de folosire a </w:t>
            </w:r>
            <w:proofErr w:type="spellStart"/>
            <w:r w:rsidRPr="00774608">
              <w:rPr>
                <w:rFonts w:cs="Calibri"/>
                <w:lang w:val="ro-RO"/>
              </w:rPr>
              <w:t>spaţiului</w:t>
            </w:r>
            <w:proofErr w:type="spellEnd"/>
            <w:r w:rsidRPr="00774608">
              <w:rPr>
                <w:rFonts w:cs="Calibri"/>
                <w:lang w:val="ro-RO"/>
              </w:rPr>
              <w:t xml:space="preserve"> pentru proiect / total timp x 100)</w:t>
            </w:r>
          </w:p>
          <w:p w:rsidR="00447FBD" w:rsidRPr="00774608" w:rsidRDefault="00447FBD" w:rsidP="00224D82">
            <w:pPr>
              <w:widowControl w:val="0"/>
              <w:spacing w:after="120" w:line="240" w:lineRule="auto"/>
              <w:jc w:val="both"/>
              <w:rPr>
                <w:rFonts w:cs="Calibri"/>
                <w:lang w:val="ro-RO"/>
              </w:rPr>
            </w:pPr>
            <w:r w:rsidRPr="00774608">
              <w:rPr>
                <w:rFonts w:cs="Calibri"/>
                <w:lang w:val="ro-RO"/>
              </w:rPr>
              <w:t>Costurile estimate la acest capitol nu trebuie să depășească limitele prevăzute în ghid</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774608">
              <w:rPr>
                <w:rFonts w:cs="Calibri"/>
                <w:lang w:val="ro-RO"/>
              </w:rPr>
              <w:t>spaţiului</w:t>
            </w:r>
            <w:proofErr w:type="spellEnd"/>
            <w:r w:rsidRPr="00774608">
              <w:rPr>
                <w:rFonts w:cs="Calibri"/>
                <w:lang w:val="ro-RO"/>
              </w:rPr>
              <w:t xml:space="preserve"> % = </w:t>
            </w:r>
            <w:proofErr w:type="spellStart"/>
            <w:r w:rsidRPr="00774608">
              <w:rPr>
                <w:rFonts w:cs="Calibri"/>
                <w:lang w:val="ro-RO"/>
              </w:rPr>
              <w:t>spaţiu</w:t>
            </w:r>
            <w:proofErr w:type="spellEnd"/>
            <w:r w:rsidRPr="00774608">
              <w:rPr>
                <w:rFonts w:cs="Calibri"/>
                <w:lang w:val="ro-RO"/>
              </w:rPr>
              <w:t xml:space="preserve"> folosit pentru proiect / total </w:t>
            </w:r>
            <w:proofErr w:type="spellStart"/>
            <w:r w:rsidRPr="00774608">
              <w:rPr>
                <w:rFonts w:cs="Calibri"/>
                <w:lang w:val="ro-RO"/>
              </w:rPr>
              <w:t>spaţiu</w:t>
            </w:r>
            <w:proofErr w:type="spellEnd"/>
            <w:r w:rsidRPr="00774608">
              <w:rPr>
                <w:rFonts w:cs="Calibri"/>
                <w:lang w:val="ro-RO"/>
              </w:rPr>
              <w:t xml:space="preserve"> x 100) în cadrul proiectului și de perioada de implementare a proiectului;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774608">
              <w:rPr>
                <w:rFonts w:cs="Calibri"/>
                <w:lang w:val="ro-RO"/>
              </w:rPr>
              <w:t>parcurşi</w:t>
            </w:r>
            <w:proofErr w:type="spellEnd"/>
            <w:r w:rsidRPr="00774608">
              <w:rPr>
                <w:rFonts w:cs="Calibri"/>
                <w:lang w:val="ro-RO"/>
              </w:rPr>
              <w:t>, conform prevederilor O.G nr.80/2001.</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ATENȚIE: Aceste cheltuieli se vor </w:t>
            </w:r>
            <w:proofErr w:type="spellStart"/>
            <w:r w:rsidRPr="00774608">
              <w:rPr>
                <w:rFonts w:cs="Calibri"/>
                <w:lang w:val="ro-RO"/>
              </w:rPr>
              <w:t>bugeta</w:t>
            </w:r>
            <w:proofErr w:type="spellEnd"/>
            <w:r w:rsidRPr="00774608">
              <w:rPr>
                <w:rFonts w:cs="Calibri"/>
                <w:lang w:val="ro-RO"/>
              </w:rPr>
              <w:t xml:space="preserve"> doar la activitatea de management de proiect.</w:t>
            </w:r>
          </w:p>
        </w:tc>
      </w:tr>
      <w:tr w:rsidR="00447FBD" w:rsidRPr="00774608" w:rsidTr="00CF370B">
        <w:trPr>
          <w:trHeight w:val="1885"/>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11</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taxe/abonamente/cotizații/acorduri/ autorizații necesare pentru implementarea proiectului</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32</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taxe/abonamente/cotizații/acorduri/ autorizații necesare pentru implementarea proiectului</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-Cheltuielile pentru </w:t>
            </w:r>
            <w:proofErr w:type="spellStart"/>
            <w:r w:rsidRPr="00774608">
              <w:rPr>
                <w:rFonts w:cs="Calibri"/>
                <w:lang w:val="ro-RO"/>
              </w:rPr>
              <w:t>achiziţia</w:t>
            </w:r>
            <w:proofErr w:type="spellEnd"/>
            <w:r w:rsidRPr="00774608">
              <w:rPr>
                <w:rFonts w:cs="Calibri"/>
                <w:lang w:val="ro-RO"/>
              </w:rPr>
              <w:t xml:space="preserve"> de </w:t>
            </w:r>
            <w:proofErr w:type="spellStart"/>
            <w:r w:rsidRPr="00774608">
              <w:rPr>
                <w:rFonts w:cs="Calibri"/>
                <w:lang w:val="ro-RO"/>
              </w:rPr>
              <w:t>publicaţii</w:t>
            </w:r>
            <w:proofErr w:type="spellEnd"/>
            <w:r w:rsidRPr="00774608">
              <w:rPr>
                <w:rFonts w:cs="Calibri"/>
                <w:lang w:val="ro-RO"/>
              </w:rPr>
              <w:t xml:space="preserve">/abonamente la </w:t>
            </w:r>
            <w:proofErr w:type="spellStart"/>
            <w:r w:rsidRPr="00774608">
              <w:rPr>
                <w:rFonts w:cs="Calibri"/>
                <w:lang w:val="ro-RO"/>
              </w:rPr>
              <w:t>publicaţii</w:t>
            </w:r>
            <w:proofErr w:type="spellEnd"/>
            <w:r w:rsidRPr="00774608">
              <w:rPr>
                <w:rFonts w:cs="Calibri"/>
                <w:lang w:val="ro-RO"/>
              </w:rPr>
              <w:t xml:space="preserve">, </w:t>
            </w:r>
            <w:proofErr w:type="spellStart"/>
            <w:r w:rsidRPr="00774608">
              <w:rPr>
                <w:rFonts w:cs="Calibri"/>
                <w:lang w:val="ro-RO"/>
              </w:rPr>
              <w:t>cărţi</w:t>
            </w:r>
            <w:proofErr w:type="spellEnd"/>
            <w:r w:rsidRPr="00774608">
              <w:rPr>
                <w:rFonts w:cs="Calibri"/>
                <w:lang w:val="ro-RO"/>
              </w:rPr>
              <w:t xml:space="preserve"> relevante pentru obiectul de activitate al beneficiarului, în format tipărit </w:t>
            </w:r>
            <w:proofErr w:type="spellStart"/>
            <w:r w:rsidRPr="00774608">
              <w:rPr>
                <w:rFonts w:cs="Calibri"/>
                <w:lang w:val="ro-RO"/>
              </w:rPr>
              <w:t>şi</w:t>
            </w:r>
            <w:proofErr w:type="spellEnd"/>
            <w:r w:rsidRPr="00774608">
              <w:rPr>
                <w:rFonts w:cs="Calibri"/>
                <w:lang w:val="ro-RO"/>
              </w:rPr>
              <w:t xml:space="preserve">/sau electronic,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cotizaţiile</w:t>
            </w:r>
            <w:proofErr w:type="spellEnd"/>
            <w:r w:rsidRPr="00774608">
              <w:rPr>
                <w:rFonts w:cs="Calibri"/>
                <w:lang w:val="ro-RO"/>
              </w:rPr>
              <w:t xml:space="preserve"> pentru participarea la </w:t>
            </w:r>
            <w:proofErr w:type="spellStart"/>
            <w:r w:rsidRPr="00774608">
              <w:rPr>
                <w:rFonts w:cs="Calibri"/>
                <w:lang w:val="ro-RO"/>
              </w:rPr>
              <w:t>asociaţii</w:t>
            </w:r>
            <w:proofErr w:type="spellEnd"/>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-Cheltuielile  efectuate în scopul obținerii certificatului digital pentru accesarea </w:t>
            </w:r>
            <w:proofErr w:type="spellStart"/>
            <w:r w:rsidRPr="00774608">
              <w:rPr>
                <w:rFonts w:cs="Calibri"/>
                <w:lang w:val="ro-RO"/>
              </w:rPr>
              <w:t>MySMIS</w:t>
            </w:r>
            <w:proofErr w:type="spellEnd"/>
          </w:p>
          <w:p w:rsidR="00447FBD" w:rsidRPr="00774608" w:rsidRDefault="00447FBD" w:rsidP="00224D82">
            <w:pPr>
              <w:widowControl w:val="0"/>
              <w:spacing w:after="120" w:line="240" w:lineRule="auto"/>
              <w:jc w:val="both"/>
              <w:rPr>
                <w:rFonts w:cs="Calibri"/>
                <w:lang w:val="ro-RO"/>
              </w:rPr>
            </w:pPr>
            <w:r w:rsidRPr="00774608">
              <w:rPr>
                <w:rFonts w:cs="Calibri"/>
                <w:lang w:val="ro-RO"/>
              </w:rPr>
              <w:t>- cheltuieli cu taxe de participare;</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806"/>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21</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64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active fixe corporale (altele decât terenuri și imobile), obiecte de inventar, materiale consumabile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r>
            <w:r w:rsidRPr="00774608">
              <w:rPr>
                <w:rFonts w:cs="Calibri"/>
                <w:lang w:val="ro-RO"/>
              </w:rPr>
              <w:br w:type="page"/>
              <w:t xml:space="preserve">1. Produsele/auxiliarele necesare pentru reuniuni de lucru /evenimente (în cazul în care Beneficiarul nu </w:t>
            </w:r>
            <w:proofErr w:type="spellStart"/>
            <w:r w:rsidRPr="00774608">
              <w:rPr>
                <w:rFonts w:cs="Calibri"/>
                <w:lang w:val="ro-RO"/>
              </w:rPr>
              <w:t>contractează</w:t>
            </w:r>
            <w:proofErr w:type="spellEnd"/>
            <w:r w:rsidRPr="00774608">
              <w:rPr>
                <w:rFonts w:cs="Calibri"/>
                <w:lang w:val="ro-RO"/>
              </w:rPr>
              <w:t xml:space="preserve"> o firmă pentru organizarea evenimentului și achiziționează direct  produsele necesare desfășurării evenimentului), pot fi bugetate doar atunci când acestea sunt alocate unor rezultate;</w:t>
            </w:r>
            <w:r w:rsidRPr="00774608">
              <w:rPr>
                <w:rFonts w:cs="Calibri"/>
                <w:lang w:val="ro-RO"/>
              </w:rPr>
              <w:br w:type="page"/>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2. La acest capitol </w:t>
            </w:r>
            <w:r w:rsidRPr="00774608">
              <w:rPr>
                <w:rFonts w:cs="Calibri"/>
                <w:b/>
                <w:lang w:val="ro-RO"/>
              </w:rPr>
              <w:t>nu</w:t>
            </w:r>
            <w:r w:rsidRPr="00774608">
              <w:rPr>
                <w:rFonts w:cs="Calibri"/>
                <w:lang w:val="ro-RO"/>
              </w:rPr>
              <w:t xml:space="preserve"> se </w:t>
            </w:r>
            <w:proofErr w:type="spellStart"/>
            <w:r w:rsidRPr="00774608">
              <w:rPr>
                <w:rFonts w:cs="Calibri"/>
                <w:lang w:val="ro-RO"/>
              </w:rPr>
              <w:t>bugetează</w:t>
            </w:r>
            <w:proofErr w:type="spellEnd"/>
            <w:r w:rsidRPr="00774608">
              <w:rPr>
                <w:rFonts w:cs="Calibri"/>
                <w:lang w:val="ro-RO"/>
              </w:rPr>
              <w:t xml:space="preserve"> costurile aferente echipamentelor de calcul și echipamentelor periferice de calcul, mobilierului și aparaturii de birotică, acestea fiind cheltuieli de tip FEDR care se </w:t>
            </w:r>
            <w:proofErr w:type="spellStart"/>
            <w:r w:rsidRPr="00774608">
              <w:rPr>
                <w:rFonts w:cs="Calibri"/>
                <w:lang w:val="ro-RO"/>
              </w:rPr>
              <w:t>bugetează</w:t>
            </w:r>
            <w:proofErr w:type="spellEnd"/>
            <w:r w:rsidRPr="00774608">
              <w:rPr>
                <w:rFonts w:cs="Calibri"/>
                <w:lang w:val="ro-RO"/>
              </w:rPr>
              <w:t xml:space="preserve"> la categoria cu codul 28.</w:t>
            </w:r>
          </w:p>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 xml:space="preserve">3. Se vor </w:t>
            </w:r>
            <w:proofErr w:type="spellStart"/>
            <w:r w:rsidRPr="00774608">
              <w:rPr>
                <w:rFonts w:cs="Calibri"/>
                <w:lang w:val="ro-RO"/>
              </w:rPr>
              <w:t>bugeta</w:t>
            </w:r>
            <w:proofErr w:type="spellEnd"/>
            <w:r w:rsidRPr="00774608">
              <w:rPr>
                <w:rFonts w:cs="Calibri"/>
                <w:lang w:val="ro-RO"/>
              </w:rPr>
              <w:t xml:space="preserve"> numai costurile necesare pentru desfășurarea altor activități decât managementul proiectului</w:t>
            </w:r>
          </w:p>
        </w:tc>
      </w:tr>
      <w:tr w:rsidR="00447FBD" w:rsidRPr="00774608" w:rsidTr="00CF370B">
        <w:trPr>
          <w:trHeight w:val="597"/>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22</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cu achiziția de active </w:t>
            </w:r>
            <w:r w:rsidRPr="00774608">
              <w:rPr>
                <w:rFonts w:cs="Calibri"/>
                <w:lang w:val="ro-RO"/>
              </w:rPr>
              <w:lastRenderedPageBreak/>
              <w:t>necorporale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76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active necorporale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licențe și software</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vor </w:t>
            </w:r>
            <w:proofErr w:type="spellStart"/>
            <w:r w:rsidRPr="00774608">
              <w:rPr>
                <w:rFonts w:cs="Calibri"/>
                <w:lang w:val="ro-RO"/>
              </w:rPr>
              <w:t>bugeta</w:t>
            </w:r>
            <w:proofErr w:type="spellEnd"/>
            <w:r w:rsidRPr="00774608">
              <w:rPr>
                <w:rFonts w:cs="Calibri"/>
                <w:lang w:val="ro-RO"/>
              </w:rPr>
              <w:t xml:space="preserve"> costurile aferente achiziției de licențe și software pentru echipamentele informatice necesare desfășurării activităților </w:t>
            </w:r>
            <w:r w:rsidRPr="00774608">
              <w:rPr>
                <w:rFonts w:cs="Calibri"/>
                <w:lang w:val="ro-RO"/>
              </w:rPr>
              <w:lastRenderedPageBreak/>
              <w:t>proiectului.</w:t>
            </w:r>
          </w:p>
        </w:tc>
      </w:tr>
      <w:tr w:rsidR="00447FBD" w:rsidRPr="00774608" w:rsidTr="00CF370B">
        <w:trPr>
          <w:trHeight w:val="1740"/>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25</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salariale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83</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w:t>
            </w:r>
            <w:r w:rsidR="00393A7D">
              <w:rPr>
                <w:rFonts w:cs="Calibri"/>
                <w:lang w:val="ro-RO"/>
              </w:rPr>
              <w:t>legale</w:t>
            </w:r>
            <w:r w:rsidRPr="00774608">
              <w:rPr>
                <w:rFonts w:cs="Calibri"/>
                <w:lang w:val="ro-RO"/>
              </w:rPr>
              <w:t>.</w:t>
            </w:r>
          </w:p>
        </w:tc>
        <w:tc>
          <w:tcPr>
            <w:tcW w:w="1560" w:type="pct"/>
            <w:vMerge w:val="restart"/>
            <w:noWrap/>
            <w:vAlign w:val="center"/>
            <w:hideMark/>
          </w:tcPr>
          <w:p w:rsidR="0079092A" w:rsidRPr="00774608" w:rsidRDefault="0079092A" w:rsidP="0079092A">
            <w:pPr>
              <w:widowControl w:val="0"/>
              <w:spacing w:after="120" w:line="240" w:lineRule="auto"/>
              <w:jc w:val="both"/>
              <w:rPr>
                <w:rFonts w:cs="Calibri"/>
                <w:lang w:val="ro-RO"/>
              </w:rPr>
            </w:pPr>
            <w:r w:rsidRPr="00774608">
              <w:rPr>
                <w:rFonts w:cs="Calibri"/>
                <w:lang w:val="ro-RO"/>
              </w:rPr>
              <w:t>La stabilirea costurilor aferente experților</w:t>
            </w:r>
            <w:r w:rsidR="00393A7D">
              <w:rPr>
                <w:rFonts w:cs="Calibri"/>
                <w:lang w:val="ro-RO"/>
              </w:rPr>
              <w:t xml:space="preserve"> externi, </w:t>
            </w:r>
            <w:proofErr w:type="spellStart"/>
            <w:r w:rsidR="00393A7D">
              <w:rPr>
                <w:rFonts w:cs="Calibri"/>
                <w:lang w:val="ro-RO"/>
              </w:rPr>
              <w:t>angajati</w:t>
            </w:r>
            <w:proofErr w:type="spellEnd"/>
            <w:r w:rsidR="00393A7D">
              <w:rPr>
                <w:rFonts w:cs="Calibri"/>
                <w:lang w:val="ro-RO"/>
              </w:rPr>
              <w:t xml:space="preserve"> în afara organigramei,</w:t>
            </w:r>
            <w:r w:rsidRPr="00774608">
              <w:rPr>
                <w:rFonts w:cs="Calibri"/>
                <w:lang w:val="ro-RO"/>
              </w:rPr>
              <w:t xml:space="preserve">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rsidR="00D5511A" w:rsidRDefault="0079092A" w:rsidP="0079092A">
            <w:pPr>
              <w:widowControl w:val="0"/>
              <w:spacing w:after="120" w:line="240" w:lineRule="auto"/>
              <w:jc w:val="both"/>
              <w:rPr>
                <w:rFonts w:cs="Calibri"/>
                <w:lang w:val="ro-RO"/>
              </w:rPr>
            </w:pPr>
            <w:r w:rsidRPr="00774608">
              <w:rPr>
                <w:rFonts w:cs="Calibri"/>
                <w:lang w:val="ro-RO"/>
              </w:rPr>
              <w:t xml:space="preserve">ATENȚIE: Se vor </w:t>
            </w:r>
            <w:proofErr w:type="spellStart"/>
            <w:r w:rsidRPr="00774608">
              <w:rPr>
                <w:rFonts w:cs="Calibri"/>
                <w:lang w:val="ro-RO"/>
              </w:rPr>
              <w:t>bugeta</w:t>
            </w:r>
            <w:proofErr w:type="spellEnd"/>
            <w:r w:rsidRPr="00774608">
              <w:rPr>
                <w:rFonts w:cs="Calibri"/>
                <w:lang w:val="ro-RO"/>
              </w:rPr>
              <w:t xml:space="preserve"> doar costurile aferente experților </w:t>
            </w:r>
            <w:proofErr w:type="spellStart"/>
            <w:r w:rsidRPr="00774608">
              <w:rPr>
                <w:rFonts w:cs="Calibri"/>
                <w:lang w:val="ro-RO"/>
              </w:rPr>
              <w:t>propii</w:t>
            </w:r>
            <w:proofErr w:type="spellEnd"/>
            <w:r w:rsidRPr="00774608">
              <w:rPr>
                <w:rFonts w:cs="Calibri"/>
                <w:lang w:val="ro-RO"/>
              </w:rPr>
              <w:t xml:space="preserve">/cooptați care contribuie efectiv la realizarea/ atingerea rezultatelor proiectului. În cazul în care </w:t>
            </w:r>
            <w:bookmarkStart w:id="91" w:name="_Hlk487554975"/>
            <w:r w:rsidRPr="00774608">
              <w:rPr>
                <w:rFonts w:cs="Calibri"/>
                <w:lang w:val="ro-RO"/>
              </w:rPr>
              <w:t>experții proprii nominalizați în cadrul activităților proiectului nu contribuie efectiv la obținerea unui rezultat/livrabil ci doar asigură suport tehnic/monitorizare</w:t>
            </w:r>
            <w:bookmarkEnd w:id="91"/>
            <w:r w:rsidRPr="00774608">
              <w:rPr>
                <w:rFonts w:cs="Calibri"/>
                <w:lang w:val="ro-RO"/>
              </w:rPr>
              <w:t xml:space="preserve"> pentru acea activitate vor fi incluși și argumentați în cadrul activității Management de proiect și în cadrul secțiunii Resurse umane din cererea de finanțare.</w:t>
            </w:r>
          </w:p>
          <w:p w:rsidR="00871394" w:rsidRDefault="00871394" w:rsidP="00871394">
            <w:pPr>
              <w:widowControl w:val="0"/>
              <w:spacing w:after="120" w:line="240" w:lineRule="auto"/>
              <w:jc w:val="both"/>
              <w:rPr>
                <w:rFonts w:cs="Calibri"/>
                <w:lang w:val="ro-RO"/>
              </w:rPr>
            </w:pPr>
            <w:r w:rsidRPr="008501A0">
              <w:rPr>
                <w:rFonts w:cs="Calibri"/>
                <w:lang w:val="ro-RO"/>
              </w:rPr>
              <w:t>În acest caz, subliniem că legislația specifică conține prevederi exprese cu privire la aceste tipuri de servicii (art. 187 alin. (8) lit. c) din Legea nr. 98/2016 și art. 32 alin. (6) din H.G. nr. 395/2016).</w:t>
            </w:r>
          </w:p>
          <w:p w:rsidR="00871394" w:rsidRPr="00774608" w:rsidRDefault="00871394" w:rsidP="0079092A">
            <w:pPr>
              <w:widowControl w:val="0"/>
              <w:spacing w:after="120" w:line="240" w:lineRule="auto"/>
              <w:jc w:val="both"/>
              <w:rPr>
                <w:rFonts w:cs="Calibri"/>
                <w:lang w:val="ro-RO"/>
              </w:rPr>
            </w:pPr>
          </w:p>
        </w:tc>
      </w:tr>
      <w:tr w:rsidR="00447FBD" w:rsidRPr="00774608" w:rsidTr="00CF370B">
        <w:trPr>
          <w:trHeight w:val="1042"/>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87</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onorarii/venituri asimilate salariilor pentru </w:t>
            </w:r>
            <w:proofErr w:type="spellStart"/>
            <w:r w:rsidRPr="00774608">
              <w:rPr>
                <w:rFonts w:cs="Calibri"/>
                <w:lang w:val="ro-RO"/>
              </w:rPr>
              <w:t>experti</w:t>
            </w:r>
            <w:proofErr w:type="spellEnd"/>
            <w:r w:rsidRPr="00774608">
              <w:rPr>
                <w:rFonts w:cs="Calibri"/>
                <w:lang w:val="ro-RO"/>
              </w:rPr>
              <w:t xml:space="preserve"> proprii/</w:t>
            </w:r>
            <w:proofErr w:type="spellStart"/>
            <w:r w:rsidRPr="00774608">
              <w:rPr>
                <w:rFonts w:cs="Calibri"/>
                <w:lang w:val="ro-RO"/>
              </w:rPr>
              <w:t>cooptati</w:t>
            </w:r>
            <w:proofErr w:type="spellEnd"/>
          </w:p>
        </w:tc>
        <w:tc>
          <w:tcPr>
            <w:tcW w:w="1486"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1560" w:type="pct"/>
            <w:vMerge/>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2473"/>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27</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deplasarea</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deplasarea</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deplasare pentru grupul țintă:</w:t>
            </w:r>
            <w:r w:rsidRPr="00774608">
              <w:rPr>
                <w:rFonts w:cs="Calibri"/>
                <w:lang w:val="ro-RO"/>
              </w:rPr>
              <w:br/>
              <w:t>•Cheltuieli pentru cazare;</w:t>
            </w:r>
            <w:r w:rsidRPr="00774608">
              <w:rPr>
                <w:rFonts w:cs="Calibri"/>
                <w:lang w:val="ro-RO"/>
              </w:rPr>
              <w:br/>
              <w:t>•Cheltuieli cu diurna</w:t>
            </w:r>
            <w:r w:rsidRPr="00774608">
              <w:rPr>
                <w:rFonts w:cs="Calibri"/>
                <w:lang w:val="ro-RO"/>
              </w:rPr>
              <w:br/>
              <w:t xml:space="preserve">•Cheltuieli pentru transportul persoanelor (inclusiv transportul efectuat cu mijloacele de transport în comun sau taxi, la </w:t>
            </w:r>
            <w:proofErr w:type="spellStart"/>
            <w:r w:rsidRPr="00774608">
              <w:rPr>
                <w:rFonts w:cs="Calibri"/>
                <w:lang w:val="ro-RO"/>
              </w:rPr>
              <w:t>şi</w:t>
            </w:r>
            <w:proofErr w:type="spellEnd"/>
            <w:r w:rsidRPr="00774608">
              <w:rPr>
                <w:rFonts w:cs="Calibri"/>
                <w:lang w:val="ro-RO"/>
              </w:rPr>
              <w:t xml:space="preserve"> de la aeroport, gară, autogară sau port </w:t>
            </w:r>
            <w:proofErr w:type="spellStart"/>
            <w:r w:rsidRPr="00774608">
              <w:rPr>
                <w:rFonts w:cs="Calibri"/>
                <w:lang w:val="ro-RO"/>
              </w:rPr>
              <w:t>şi</w:t>
            </w:r>
            <w:proofErr w:type="spellEnd"/>
            <w:r w:rsidRPr="00774608">
              <w:rPr>
                <w:rFonts w:cs="Calibri"/>
                <w:lang w:val="ro-RO"/>
              </w:rPr>
              <w:t xml:space="preserve"> locul delegării ori locul de cazare, pentru deplasările în străinătate, precum </w:t>
            </w:r>
            <w:proofErr w:type="spellStart"/>
            <w:r w:rsidRPr="00774608">
              <w:rPr>
                <w:rFonts w:cs="Calibri"/>
                <w:lang w:val="ro-RO"/>
              </w:rPr>
              <w:t>şi</w:t>
            </w:r>
            <w:proofErr w:type="spellEnd"/>
            <w:r w:rsidRPr="00774608">
              <w:rPr>
                <w:rFonts w:cs="Calibri"/>
                <w:lang w:val="ro-RO"/>
              </w:rPr>
              <w:t xml:space="preserve"> transportul efectuat pe </w:t>
            </w:r>
            <w:proofErr w:type="spellStart"/>
            <w:r w:rsidRPr="00774608">
              <w:rPr>
                <w:rFonts w:cs="Calibri"/>
                <w:lang w:val="ro-RO"/>
              </w:rPr>
              <w:t>distanţa</w:t>
            </w:r>
            <w:proofErr w:type="spellEnd"/>
            <w:r w:rsidRPr="00774608">
              <w:rPr>
                <w:rFonts w:cs="Calibri"/>
                <w:lang w:val="ro-RO"/>
              </w:rPr>
              <w:t xml:space="preserve"> dintre locul de cazare </w:t>
            </w:r>
            <w:proofErr w:type="spellStart"/>
            <w:r w:rsidRPr="00774608">
              <w:rPr>
                <w:rFonts w:cs="Calibri"/>
                <w:lang w:val="ro-RO"/>
              </w:rPr>
              <w:t>şi</w:t>
            </w:r>
            <w:proofErr w:type="spellEnd"/>
            <w:r w:rsidRPr="00774608">
              <w:rPr>
                <w:rFonts w:cs="Calibri"/>
                <w:lang w:val="ro-RO"/>
              </w:rPr>
              <w:t xml:space="preserve"> locul delegării);</w:t>
            </w:r>
            <w:r w:rsidRPr="00774608">
              <w:rPr>
                <w:rFonts w:cs="Calibri"/>
                <w:lang w:val="ro-RO"/>
              </w:rPr>
              <w:br/>
              <w:t xml:space="preserve">• Taxe </w:t>
            </w:r>
            <w:proofErr w:type="spellStart"/>
            <w:r w:rsidRPr="00774608">
              <w:rPr>
                <w:rFonts w:cs="Calibri"/>
                <w:lang w:val="ro-RO"/>
              </w:rPr>
              <w:t>şi</w:t>
            </w:r>
            <w:proofErr w:type="spellEnd"/>
            <w:r w:rsidRPr="00774608">
              <w:rPr>
                <w:rFonts w:cs="Calibri"/>
                <w:lang w:val="ro-RO"/>
              </w:rPr>
              <w:t xml:space="preserve"> asigurări de călătorie și asigurări medicale aferente deplasării</w:t>
            </w:r>
          </w:p>
        </w:tc>
        <w:tc>
          <w:tcPr>
            <w:tcW w:w="1560" w:type="pct"/>
            <w:vMerge w:val="restart"/>
            <w:noWrap/>
            <w:vAlign w:val="center"/>
            <w:hideMark/>
          </w:tcPr>
          <w:p w:rsidR="000B26DA" w:rsidRPr="00774608" w:rsidRDefault="00447FBD" w:rsidP="00224D82">
            <w:pPr>
              <w:widowControl w:val="0"/>
              <w:spacing w:after="120" w:line="240" w:lineRule="auto"/>
              <w:jc w:val="both"/>
              <w:rPr>
                <w:rFonts w:cs="Calibri"/>
                <w:lang w:val="ro-RO"/>
              </w:rPr>
            </w:pPr>
            <w:r w:rsidRPr="00774608">
              <w:rPr>
                <w:rFonts w:cs="Calibri"/>
                <w:lang w:val="ro-RO"/>
              </w:rPr>
              <w:t xml:space="preserve">La stabilirea costurilor cu deplasările interne se vor utiliza baremurile impuse de H.G. nr. 1860/2006, cu modificările </w:t>
            </w:r>
            <w:proofErr w:type="spellStart"/>
            <w:r w:rsidRPr="00774608">
              <w:rPr>
                <w:rFonts w:cs="Calibri"/>
                <w:lang w:val="ro-RO"/>
              </w:rPr>
              <w:t>şi</w:t>
            </w:r>
            <w:proofErr w:type="spellEnd"/>
            <w:r w:rsidRPr="00774608">
              <w:rPr>
                <w:rFonts w:cs="Calibri"/>
                <w:lang w:val="ro-RO"/>
              </w:rPr>
              <w:t xml:space="preserve"> completările ulterioare, iar pentru deplasările externe se vor utiliza baremurile impuse de H.G. nr.518/1995, cu modificările </w:t>
            </w:r>
            <w:proofErr w:type="spellStart"/>
            <w:r w:rsidRPr="00774608">
              <w:rPr>
                <w:rFonts w:cs="Calibri"/>
                <w:lang w:val="ro-RO"/>
              </w:rPr>
              <w:t>şi</w:t>
            </w:r>
            <w:proofErr w:type="spellEnd"/>
            <w:r w:rsidRPr="00774608">
              <w:rPr>
                <w:rFonts w:cs="Calibri"/>
                <w:lang w:val="ro-RO"/>
              </w:rPr>
              <w:t xml:space="preserve"> completările ulterioare, indiferent de tipul de beneficiar (public/privat).</w:t>
            </w:r>
          </w:p>
        </w:tc>
      </w:tr>
      <w:tr w:rsidR="00447FBD" w:rsidRPr="00774608" w:rsidTr="00CF370B">
        <w:trPr>
          <w:trHeight w:val="838"/>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98</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cu deplasarea pentru personal propriu și </w:t>
            </w:r>
            <w:proofErr w:type="spellStart"/>
            <w:r w:rsidRPr="00774608">
              <w:rPr>
                <w:rFonts w:cs="Calibri"/>
                <w:lang w:val="ro-RO"/>
              </w:rPr>
              <w:t>experti</w:t>
            </w:r>
            <w:proofErr w:type="spellEnd"/>
            <w:r w:rsidRPr="00774608">
              <w:rPr>
                <w:rFonts w:cs="Calibri"/>
                <w:lang w:val="ro-RO"/>
              </w:rPr>
              <w:t xml:space="preserve"> </w:t>
            </w:r>
            <w:proofErr w:type="spellStart"/>
            <w:r w:rsidRPr="00774608">
              <w:rPr>
                <w:rFonts w:cs="Calibri"/>
                <w:lang w:val="ro-RO"/>
              </w:rPr>
              <w:t>implicati</w:t>
            </w:r>
            <w:proofErr w:type="spellEnd"/>
            <w:r w:rsidRPr="00774608">
              <w:rPr>
                <w:rFonts w:cs="Calibri"/>
                <w:lang w:val="ro-RO"/>
              </w:rPr>
              <w:t xml:space="preserve"> in implementarea proiectului</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de deplasarea pentru personal propriu și </w:t>
            </w:r>
            <w:proofErr w:type="spellStart"/>
            <w:r w:rsidRPr="00774608">
              <w:rPr>
                <w:rFonts w:cs="Calibri"/>
                <w:lang w:val="ro-RO"/>
              </w:rPr>
              <w:t>experti</w:t>
            </w:r>
            <w:proofErr w:type="spellEnd"/>
            <w:r w:rsidRPr="00774608">
              <w:rPr>
                <w:rFonts w:cs="Calibri"/>
                <w:lang w:val="ro-RO"/>
              </w:rPr>
              <w:t xml:space="preserve"> </w:t>
            </w:r>
            <w:proofErr w:type="spellStart"/>
            <w:r w:rsidRPr="00774608">
              <w:rPr>
                <w:rFonts w:cs="Calibri"/>
                <w:lang w:val="ro-RO"/>
              </w:rPr>
              <w:t>implicati</w:t>
            </w:r>
            <w:proofErr w:type="spellEnd"/>
            <w:r w:rsidRPr="00774608">
              <w:rPr>
                <w:rFonts w:cs="Calibri"/>
                <w:lang w:val="ro-RO"/>
              </w:rPr>
              <w:t xml:space="preserve"> in implementarea proiectului,  - alte persoane </w:t>
            </w:r>
            <w:proofErr w:type="spellStart"/>
            <w:r w:rsidRPr="00774608">
              <w:rPr>
                <w:rFonts w:cs="Calibri"/>
                <w:lang w:val="ro-RO"/>
              </w:rPr>
              <w:t>decat</w:t>
            </w:r>
            <w:proofErr w:type="spellEnd"/>
            <w:r w:rsidRPr="00774608">
              <w:rPr>
                <w:rFonts w:cs="Calibri"/>
                <w:lang w:val="ro-RO"/>
              </w:rPr>
              <w:t xml:space="preserve"> cele implicate în managementul de proiect</w:t>
            </w:r>
            <w:r w:rsidRPr="00774608">
              <w:rPr>
                <w:rFonts w:cs="Calibri"/>
                <w:lang w:val="ro-RO"/>
              </w:rPr>
              <w:br/>
              <w:t>•Cheltuieli pentru cazare;</w:t>
            </w:r>
            <w:r w:rsidRPr="00774608">
              <w:rPr>
                <w:rFonts w:cs="Calibri"/>
                <w:lang w:val="ro-RO"/>
              </w:rPr>
              <w:br/>
              <w:t>•Cheltuieli cu diurna</w:t>
            </w:r>
            <w:r w:rsidRPr="00774608">
              <w:rPr>
                <w:rFonts w:cs="Calibri"/>
                <w:lang w:val="ro-RO"/>
              </w:rPr>
              <w:br/>
              <w:t xml:space="preserve">•Cheltuieli pentru transportul persoanelor (inclusiv transportul efectuat cu mijloacele de transport în comun sau taxi, la </w:t>
            </w:r>
            <w:proofErr w:type="spellStart"/>
            <w:r w:rsidRPr="00774608">
              <w:rPr>
                <w:rFonts w:cs="Calibri"/>
                <w:lang w:val="ro-RO"/>
              </w:rPr>
              <w:t>şi</w:t>
            </w:r>
            <w:proofErr w:type="spellEnd"/>
            <w:r w:rsidRPr="00774608">
              <w:rPr>
                <w:rFonts w:cs="Calibri"/>
                <w:lang w:val="ro-RO"/>
              </w:rPr>
              <w:t xml:space="preserve"> de la aeroport, gară, autogară sau port </w:t>
            </w:r>
            <w:proofErr w:type="spellStart"/>
            <w:r w:rsidRPr="00774608">
              <w:rPr>
                <w:rFonts w:cs="Calibri"/>
                <w:lang w:val="ro-RO"/>
              </w:rPr>
              <w:t>şi</w:t>
            </w:r>
            <w:proofErr w:type="spellEnd"/>
            <w:r w:rsidRPr="00774608">
              <w:rPr>
                <w:rFonts w:cs="Calibri"/>
                <w:lang w:val="ro-RO"/>
              </w:rPr>
              <w:t xml:space="preserve"> locul delegării ori locul de cazare- pentru deplasările în străinătate, precum </w:t>
            </w:r>
            <w:proofErr w:type="spellStart"/>
            <w:r w:rsidRPr="00774608">
              <w:rPr>
                <w:rFonts w:cs="Calibri"/>
                <w:lang w:val="ro-RO"/>
              </w:rPr>
              <w:t>şi</w:t>
            </w:r>
            <w:proofErr w:type="spellEnd"/>
            <w:r w:rsidRPr="00774608">
              <w:rPr>
                <w:rFonts w:cs="Calibri"/>
                <w:lang w:val="ro-RO"/>
              </w:rPr>
              <w:t xml:space="preserve"> transportul efectuat pe </w:t>
            </w:r>
            <w:proofErr w:type="spellStart"/>
            <w:r w:rsidRPr="00774608">
              <w:rPr>
                <w:rFonts w:cs="Calibri"/>
                <w:lang w:val="ro-RO"/>
              </w:rPr>
              <w:t>distanţa</w:t>
            </w:r>
            <w:proofErr w:type="spellEnd"/>
            <w:r w:rsidRPr="00774608">
              <w:rPr>
                <w:rFonts w:cs="Calibri"/>
                <w:lang w:val="ro-RO"/>
              </w:rPr>
              <w:t xml:space="preserve"> dintre locul de cazare </w:t>
            </w:r>
            <w:proofErr w:type="spellStart"/>
            <w:r w:rsidRPr="00774608">
              <w:rPr>
                <w:rFonts w:cs="Calibri"/>
                <w:lang w:val="ro-RO"/>
              </w:rPr>
              <w:t>şi</w:t>
            </w:r>
            <w:proofErr w:type="spellEnd"/>
            <w:r w:rsidRPr="00774608">
              <w:rPr>
                <w:rFonts w:cs="Calibri"/>
                <w:lang w:val="ro-RO"/>
              </w:rPr>
              <w:t xml:space="preserve"> locul delegării);</w:t>
            </w:r>
            <w:r w:rsidRPr="00774608">
              <w:rPr>
                <w:rFonts w:cs="Calibri"/>
                <w:lang w:val="ro-RO"/>
              </w:rPr>
              <w:br/>
              <w:t xml:space="preserve">• Taxe </w:t>
            </w:r>
            <w:proofErr w:type="spellStart"/>
            <w:r w:rsidRPr="00774608">
              <w:rPr>
                <w:rFonts w:cs="Calibri"/>
                <w:lang w:val="ro-RO"/>
              </w:rPr>
              <w:t>şi</w:t>
            </w:r>
            <w:proofErr w:type="spellEnd"/>
            <w:r w:rsidRPr="00774608">
              <w:rPr>
                <w:rFonts w:cs="Calibri"/>
                <w:lang w:val="ro-RO"/>
              </w:rPr>
              <w:t xml:space="preserve"> asigurări de călătorie și asigurări medicale aferente deplasării</w:t>
            </w:r>
          </w:p>
        </w:tc>
        <w:tc>
          <w:tcPr>
            <w:tcW w:w="1560" w:type="pct"/>
            <w:vMerge/>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857"/>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28</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tip FEDR</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99</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tip FEDR</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cu mijloace fixe, echipamentele de calcul și echipamentele periferice de calcul, mobilierul și aparatura birotică, altele </w:t>
            </w:r>
            <w:proofErr w:type="spellStart"/>
            <w:r w:rsidRPr="00774608">
              <w:rPr>
                <w:rFonts w:cs="Calibri"/>
                <w:lang w:val="ro-RO"/>
              </w:rPr>
              <w:t>decat</w:t>
            </w:r>
            <w:proofErr w:type="spellEnd"/>
            <w:r w:rsidRPr="00774608">
              <w:rPr>
                <w:rFonts w:cs="Calibri"/>
                <w:lang w:val="ro-RO"/>
              </w:rPr>
              <w:t xml:space="preserve"> cele necesare managementului de proiect</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vor </w:t>
            </w:r>
            <w:proofErr w:type="spellStart"/>
            <w:r w:rsidRPr="00774608">
              <w:rPr>
                <w:rFonts w:cs="Calibri"/>
                <w:lang w:val="ro-RO"/>
              </w:rPr>
              <w:t>bugeta</w:t>
            </w:r>
            <w:proofErr w:type="spellEnd"/>
            <w:r w:rsidRPr="00774608">
              <w:rPr>
                <w:rFonts w:cs="Calibri"/>
                <w:lang w:val="ro-RO"/>
              </w:rPr>
              <w:t xml:space="preserve"> costuri aferente mijloacelor fixe, echipamentelor/perifericelor de calcul numai în cazul în care sunt absolut necesare implementării proiectului.</w:t>
            </w:r>
          </w:p>
        </w:tc>
      </w:tr>
      <w:tr w:rsidR="00447FBD" w:rsidRPr="00774608" w:rsidTr="00CF370B">
        <w:trPr>
          <w:trHeight w:val="239"/>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29</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100</w:t>
            </w:r>
          </w:p>
        </w:tc>
        <w:tc>
          <w:tcPr>
            <w:tcW w:w="863" w:type="pct"/>
            <w:noWrap/>
            <w:vAlign w:val="center"/>
            <w:hideMark/>
          </w:tcPr>
          <w:p w:rsidR="00447FBD" w:rsidRPr="00774608" w:rsidRDefault="00CE24B4" w:rsidP="00224D82">
            <w:pPr>
              <w:widowControl w:val="0"/>
              <w:spacing w:after="120" w:line="240" w:lineRule="auto"/>
              <w:jc w:val="both"/>
              <w:rPr>
                <w:rFonts w:cs="Calibri"/>
                <w:lang w:val="ro-RO"/>
              </w:rPr>
            </w:pPr>
            <w:r w:rsidRPr="00CE24B4">
              <w:rPr>
                <w:rFonts w:cs="Calibri"/>
                <w:lang w:val="ro-RO"/>
              </w:rPr>
              <w:t>cheltuieli pentru consultanță și expertiză, inclusiv pentru elaborare PMUD</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Cheltuielile pentru realizarea de studii, cercetări de piață, analize.</w:t>
            </w:r>
          </w:p>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774608">
              <w:rPr>
                <w:rFonts w:cs="Calibri"/>
                <w:lang w:val="ro-RO"/>
              </w:rPr>
              <w:t>piaţă</w:t>
            </w:r>
            <w:proofErr w:type="spellEnd"/>
            <w:r w:rsidRPr="00774608">
              <w:rPr>
                <w:rFonts w:cs="Calibri"/>
                <w:lang w:val="ro-RO"/>
              </w:rPr>
              <w:t>, studii de evaluare și impact, analize, precum și pentru elaborarea de rapoarte, strategii, ghiduri, metodologii (inclusiv traducerea acestora) aferente sistemului;</w:t>
            </w:r>
          </w:p>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•Cheltuieli realizate în cadrul unor acorduri/memorandumuri/ protocoale cu organisme internaționale;</w:t>
            </w:r>
            <w:r w:rsidRPr="00774608">
              <w:rPr>
                <w:rFonts w:cs="Calibri"/>
                <w:lang w:val="ro-RO"/>
              </w:rPr>
              <w:br w:type="page"/>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1.Se pot </w:t>
            </w:r>
            <w:proofErr w:type="spellStart"/>
            <w:r w:rsidRPr="00774608">
              <w:rPr>
                <w:rFonts w:cs="Calibri"/>
                <w:lang w:val="ro-RO"/>
              </w:rPr>
              <w:t>bugeta</w:t>
            </w:r>
            <w:proofErr w:type="spellEnd"/>
            <w:r w:rsidRPr="00774608">
              <w:rPr>
                <w:rFonts w:cs="Calibri"/>
                <w:lang w:val="ro-RO"/>
              </w:rPr>
              <w:t xml:space="preserve"> doar costurile pentru consultanță și expertiză aferente exclusiv contractelor cu persoane juridice,  organisme internaționale și persoane fizice autorizate;</w:t>
            </w:r>
            <w:r w:rsidRPr="00774608">
              <w:rPr>
                <w:rFonts w:cs="Calibri"/>
                <w:lang w:val="ro-RO"/>
              </w:rPr>
              <w:br w:type="page"/>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774608">
              <w:rPr>
                <w:rFonts w:cs="Calibri"/>
                <w:lang w:val="ro-RO"/>
              </w:rPr>
              <w:br w:type="page"/>
              <w:t xml:space="preserve">Totodată, auditarea proiectului și raportul de audit trebuie să respecte cerințele AM. </w:t>
            </w:r>
            <w:r w:rsidRPr="00774608">
              <w:rPr>
                <w:rFonts w:cs="Calibri"/>
                <w:lang w:val="ro-RO"/>
              </w:rPr>
              <w:br w:type="page"/>
              <w:t xml:space="preserve">În cadrul proiectului sunt acceptate cel mult două (2) audituri - </w:t>
            </w:r>
            <w:r w:rsidR="00265F4A">
              <w:rPr>
                <w:rFonts w:cs="Calibri"/>
                <w:lang w:val="ro-RO"/>
              </w:rPr>
              <w:t>pentru proiectele cu valoare eligibila peste 1.000.000 lei</w:t>
            </w:r>
            <w:r w:rsidR="00265F4A" w:rsidRPr="0039208E">
              <w:rPr>
                <w:rFonts w:cs="Calibri"/>
                <w:lang w:val="ro-RO"/>
              </w:rPr>
              <w:t xml:space="preserve"> - un audit intermediar și unul final</w:t>
            </w:r>
            <w:r w:rsidR="00265F4A">
              <w:rPr>
                <w:rFonts w:cs="Calibri"/>
                <w:lang w:val="ro-RO"/>
              </w:rPr>
              <w:t xml:space="preserve"> respectiv un (1) audit final pentru proiectele</w:t>
            </w:r>
            <w:r w:rsidR="00265F4A">
              <w:t xml:space="preserve"> </w:t>
            </w:r>
            <w:r w:rsidR="00265F4A" w:rsidRPr="001640B1">
              <w:rPr>
                <w:rFonts w:cs="Calibri"/>
                <w:lang w:val="ro-RO"/>
              </w:rPr>
              <w:t xml:space="preserve">cu valoare eligibila </w:t>
            </w:r>
            <w:r w:rsidR="00265F4A">
              <w:rPr>
                <w:rFonts w:cs="Calibri"/>
                <w:lang w:val="ro-RO"/>
              </w:rPr>
              <w:t>sub</w:t>
            </w:r>
            <w:r w:rsidR="00265F4A" w:rsidRPr="001640B1">
              <w:rPr>
                <w:rFonts w:cs="Calibri"/>
                <w:lang w:val="ro-RO"/>
              </w:rPr>
              <w:t xml:space="preserve"> 1.000.000</w:t>
            </w:r>
            <w:r w:rsidR="00265F4A">
              <w:rPr>
                <w:rFonts w:cs="Calibri"/>
                <w:lang w:val="ro-RO"/>
              </w:rPr>
              <w:t xml:space="preserve"> lei</w:t>
            </w:r>
            <w:r w:rsidRPr="00774608">
              <w:rPr>
                <w:rFonts w:cs="Calibri"/>
                <w:lang w:val="ro-RO"/>
              </w:rPr>
              <w:t>.</w:t>
            </w:r>
            <w:r w:rsidRPr="00774608">
              <w:rPr>
                <w:rFonts w:cs="Calibri"/>
                <w:lang w:val="ro-RO"/>
              </w:rPr>
              <w:br w:type="page"/>
              <w:t xml:space="preserve">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447FBD" w:rsidRPr="00774608" w:rsidTr="00CF370B">
        <w:trPr>
          <w:trHeight w:val="1090"/>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 pentru organizarea de evenimente și cursuri de formare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În această categorie se includ:</w:t>
            </w:r>
          </w:p>
          <w:p w:rsidR="00447FBD" w:rsidRDefault="00447FBD" w:rsidP="00224D82">
            <w:pPr>
              <w:widowControl w:val="0"/>
              <w:spacing w:after="120" w:line="240" w:lineRule="auto"/>
              <w:jc w:val="both"/>
              <w:rPr>
                <w:rFonts w:cs="Calibri"/>
                <w:lang w:val="ro-RO"/>
              </w:rPr>
            </w:pPr>
            <w:r w:rsidRPr="00774608">
              <w:rPr>
                <w:rFonts w:cs="Calibri"/>
                <w:lang w:val="ro-RO"/>
              </w:rPr>
              <w:t xml:space="preserve">• cheltuieli ce fac obiectul unor contracte de prestări servicii privind organizarea/participarea la evenimente de genul </w:t>
            </w:r>
            <w:proofErr w:type="spellStart"/>
            <w:r w:rsidRPr="00774608">
              <w:rPr>
                <w:rFonts w:cs="Calibri"/>
                <w:lang w:val="ro-RO"/>
              </w:rPr>
              <w:t>conferinţe</w:t>
            </w:r>
            <w:proofErr w:type="spellEnd"/>
            <w:r w:rsidRPr="00774608">
              <w:rPr>
                <w:rFonts w:cs="Calibri"/>
                <w:lang w:val="ro-RO"/>
              </w:rPr>
              <w:t xml:space="preserve">, cursuri de instruire, </w:t>
            </w:r>
            <w:proofErr w:type="spellStart"/>
            <w:r w:rsidRPr="00774608">
              <w:rPr>
                <w:rFonts w:cs="Calibri"/>
                <w:lang w:val="ro-RO"/>
              </w:rPr>
              <w:t>seminarii</w:t>
            </w:r>
            <w:proofErr w:type="spellEnd"/>
            <w:r w:rsidRPr="00774608">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rsidR="007C71FF" w:rsidRPr="00774608" w:rsidRDefault="007C71FF" w:rsidP="00224D82">
            <w:pPr>
              <w:widowControl w:val="0"/>
              <w:spacing w:after="120" w:line="240" w:lineRule="auto"/>
              <w:jc w:val="both"/>
              <w:rPr>
                <w:rFonts w:cs="Calibri"/>
                <w:lang w:val="ro-RO"/>
              </w:rPr>
            </w:pPr>
            <w:r>
              <w:rPr>
                <w:rFonts w:cs="Calibri"/>
                <w:lang w:val="ro-RO"/>
              </w:rPr>
              <w:t>A</w:t>
            </w:r>
            <w:r w:rsidRPr="00FC4A45">
              <w:rPr>
                <w:rFonts w:cs="Calibri"/>
                <w:lang w:val="ro-RO"/>
              </w:rPr>
              <w:t>cț</w:t>
            </w:r>
            <w:r>
              <w:rPr>
                <w:rFonts w:cs="Calibri"/>
                <w:lang w:val="ro-RO"/>
              </w:rPr>
              <w:t>iunile</w:t>
            </w:r>
            <w:r w:rsidRPr="00FC4A45">
              <w:rPr>
                <w:rFonts w:cs="Calibri"/>
                <w:lang w:val="ro-RO"/>
              </w:rPr>
              <w:t xml:space="preserve"> </w:t>
            </w:r>
            <w:r>
              <w:rPr>
                <w:rFonts w:cs="Calibri"/>
                <w:lang w:val="ro-RO"/>
              </w:rPr>
              <w:t>aferente</w:t>
            </w:r>
            <w:r>
              <w:t xml:space="preserve"> </w:t>
            </w:r>
            <w:r w:rsidRPr="00D77111">
              <w:rPr>
                <w:rFonts w:cs="Calibri"/>
                <w:lang w:val="ro-RO"/>
              </w:rPr>
              <w:t>contracte</w:t>
            </w:r>
            <w:r>
              <w:rPr>
                <w:rFonts w:cs="Calibri"/>
                <w:lang w:val="ro-RO"/>
              </w:rPr>
              <w:t>lor</w:t>
            </w:r>
            <w:r w:rsidRPr="00D77111">
              <w:rPr>
                <w:rFonts w:cs="Calibri"/>
                <w:lang w:val="ro-RO"/>
              </w:rPr>
              <w:t xml:space="preserve"> de prestări servicii privind organizarea/participarea la evenimente de genul </w:t>
            </w:r>
            <w:proofErr w:type="spellStart"/>
            <w:r w:rsidRPr="00D77111">
              <w:rPr>
                <w:rFonts w:cs="Calibri"/>
                <w:lang w:val="ro-RO"/>
              </w:rPr>
              <w:t>conferinţe</w:t>
            </w:r>
            <w:proofErr w:type="spellEnd"/>
            <w:r w:rsidRPr="00D77111">
              <w:rPr>
                <w:rFonts w:cs="Calibri"/>
                <w:lang w:val="ro-RO"/>
              </w:rPr>
              <w:t xml:space="preserve">, cursuri de instruire, </w:t>
            </w:r>
            <w:proofErr w:type="spellStart"/>
            <w:r w:rsidRPr="00D77111">
              <w:rPr>
                <w:rFonts w:cs="Calibri"/>
                <w:lang w:val="ro-RO"/>
              </w:rPr>
              <w:t>seminarii</w:t>
            </w:r>
            <w:proofErr w:type="spellEnd"/>
            <w:r w:rsidRPr="00D77111">
              <w:rPr>
                <w:rFonts w:cs="Calibri"/>
                <w:lang w:val="ro-RO"/>
              </w:rPr>
              <w:t>, mese rotunde, ateliere de lucru, activități transnaționale etc</w:t>
            </w:r>
            <w:r>
              <w:rPr>
                <w:rFonts w:cs="Calibri"/>
                <w:lang w:val="ro-RO"/>
              </w:rPr>
              <w:t xml:space="preserve"> nu sunt considerate </w:t>
            </w:r>
            <w:r w:rsidRPr="00FC4A45">
              <w:rPr>
                <w:rFonts w:cs="Calibri"/>
                <w:lang w:val="ro-RO"/>
              </w:rPr>
              <w:t>acțiuni de protocol</w:t>
            </w:r>
            <w:r>
              <w:rPr>
                <w:rFonts w:cs="Calibri"/>
                <w:lang w:val="ro-RO"/>
              </w:rPr>
              <w:t xml:space="preserve">. </w:t>
            </w:r>
          </w:p>
          <w:p w:rsidR="00447FBD" w:rsidRPr="00774608" w:rsidRDefault="00447FBD" w:rsidP="00224D82">
            <w:pPr>
              <w:widowControl w:val="0"/>
              <w:spacing w:after="120" w:line="240" w:lineRule="auto"/>
              <w:jc w:val="both"/>
              <w:rPr>
                <w:rFonts w:cs="Calibri"/>
                <w:lang w:val="ro-RO"/>
              </w:rPr>
            </w:pPr>
            <w:r w:rsidRPr="00774608">
              <w:rPr>
                <w:rFonts w:cs="Calibri"/>
                <w:lang w:val="ro-RO"/>
              </w:rPr>
              <w:t>Serviciile furnizate de prestatorul de servicii pot include următoarele tipuri de cheltuieli, iar bugetarea se realizează ținând cont de durata estimată a evenimentului: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o cheltuieli de deplasare</w:t>
            </w:r>
            <w:r w:rsidR="00224D82" w:rsidRPr="00774608">
              <w:rPr>
                <w:rFonts w:cs="Calibri"/>
                <w:lang w:val="ro-RO"/>
              </w:rPr>
              <w:t xml:space="preserve"> </w:t>
            </w:r>
            <w:r w:rsidRPr="00774608">
              <w:rPr>
                <w:rFonts w:cs="Calibri"/>
                <w:lang w:val="ro-RO"/>
              </w:rPr>
              <w:t xml:space="preserve">(cazare, </w:t>
            </w:r>
            <w:r w:rsidR="00E51C74" w:rsidRPr="00B66B71">
              <w:rPr>
                <w:rFonts w:cs="Calibri"/>
                <w:lang w:val="ro-RO"/>
              </w:rPr>
              <w:t xml:space="preserve"> cheltuieli cu pauzele de lucru și pauzele de cafea</w:t>
            </w:r>
            <w:r w:rsidRPr="00774608">
              <w:rPr>
                <w:rFonts w:cs="Calibri"/>
                <w:lang w:val="ro-RO"/>
              </w:rPr>
              <w:t>/diurnă, transport)</w:t>
            </w:r>
            <w:r w:rsidR="00E51C74">
              <w:rPr>
                <w:rFonts w:cs="Calibri"/>
                <w:lang w:val="ro-RO"/>
              </w:rPr>
              <w:t xml:space="preserve">, </w:t>
            </w:r>
            <w:r w:rsidR="00E51C74" w:rsidRPr="00B66B71">
              <w:rPr>
                <w:rFonts w:cs="Calibri"/>
                <w:lang w:val="ro-RO"/>
              </w:rPr>
              <w:t>cuprinse în contractele de prestări servicii pentru organizarea de evenimente și cursuri de formare</w:t>
            </w:r>
            <w:r w:rsidR="00E51C74">
              <w:rPr>
                <w:rFonts w:cs="Calibri"/>
                <w:lang w:val="ro-RO"/>
              </w:rPr>
              <w:t>.</w:t>
            </w:r>
            <w:r w:rsidR="00E51C74">
              <w:t xml:space="preserve"> </w:t>
            </w:r>
            <w:r w:rsidR="00E51C74" w:rsidRPr="00E64E49">
              <w:rPr>
                <w:rFonts w:cs="Calibri"/>
                <w:lang w:val="ro-RO"/>
              </w:rPr>
              <w:t>Cheltuielile cu pauzele de lucru</w:t>
            </w:r>
            <w:r w:rsidR="00E51C74">
              <w:rPr>
                <w:rFonts w:cs="Calibri"/>
                <w:lang w:val="ro-RO"/>
              </w:rPr>
              <w:t xml:space="preserve"> nu pot depăși 100 lei/zi/persoană</w:t>
            </w:r>
            <w:r w:rsidR="00E51C74" w:rsidRPr="00E64E49">
              <w:rPr>
                <w:rFonts w:cs="Calibri"/>
                <w:lang w:val="ro-RO"/>
              </w:rPr>
              <w:t xml:space="preserve"> </w:t>
            </w:r>
            <w:r w:rsidR="00E51C74">
              <w:rPr>
                <w:rFonts w:cs="Calibri"/>
                <w:lang w:val="ro-RO"/>
              </w:rPr>
              <w:t>iar</w:t>
            </w:r>
            <w:r w:rsidR="00E51C74" w:rsidRPr="00E64E49">
              <w:rPr>
                <w:rFonts w:cs="Calibri"/>
                <w:lang w:val="ro-RO"/>
              </w:rPr>
              <w:t xml:space="preserve"> </w:t>
            </w:r>
            <w:r w:rsidR="00E51C74">
              <w:rPr>
                <w:rFonts w:cs="Calibri"/>
                <w:lang w:val="ro-RO"/>
              </w:rPr>
              <w:t xml:space="preserve">cheltuielile cu </w:t>
            </w:r>
            <w:r w:rsidR="00E51C74" w:rsidRPr="00E64E49">
              <w:rPr>
                <w:rFonts w:cs="Calibri"/>
                <w:lang w:val="ro-RO"/>
              </w:rPr>
              <w:t>pauzele de cafea</w:t>
            </w:r>
            <w:r w:rsidR="00E51C74">
              <w:rPr>
                <w:rFonts w:cs="Calibri"/>
                <w:lang w:val="ro-RO"/>
              </w:rPr>
              <w:t xml:space="preserve"> nu pot </w:t>
            </w:r>
            <w:proofErr w:type="spellStart"/>
            <w:r w:rsidR="00E51C74">
              <w:rPr>
                <w:rFonts w:cs="Calibri"/>
                <w:lang w:val="ro-RO"/>
              </w:rPr>
              <w:t>depași</w:t>
            </w:r>
            <w:proofErr w:type="spellEnd"/>
            <w:r w:rsidR="00E51C74">
              <w:rPr>
                <w:rFonts w:cs="Calibri"/>
                <w:lang w:val="ro-RO"/>
              </w:rPr>
              <w:t xml:space="preserve"> </w:t>
            </w:r>
            <w:r w:rsidR="00E51C74">
              <w:rPr>
                <w:rFonts w:cs="Calibri"/>
                <w:lang w:val="ro-RO"/>
              </w:rPr>
              <w:lastRenderedPageBreak/>
              <w:t>40 lei/zi/persoană</w:t>
            </w:r>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o taxe </w:t>
            </w:r>
            <w:proofErr w:type="spellStart"/>
            <w:r w:rsidRPr="00774608">
              <w:rPr>
                <w:rFonts w:cs="Calibri"/>
                <w:lang w:val="ro-RO"/>
              </w:rPr>
              <w:t>şi</w:t>
            </w:r>
            <w:proofErr w:type="spellEnd"/>
            <w:r w:rsidRPr="00774608">
              <w:rPr>
                <w:rFonts w:cs="Calibri"/>
                <w:lang w:val="ro-RO"/>
              </w:rPr>
              <w:t xml:space="preserve"> asigurări de călătorie;</w:t>
            </w:r>
          </w:p>
          <w:p w:rsidR="00447FBD" w:rsidRPr="00774608" w:rsidRDefault="00447FBD" w:rsidP="00224D82">
            <w:pPr>
              <w:widowControl w:val="0"/>
              <w:spacing w:after="120" w:line="240" w:lineRule="auto"/>
              <w:jc w:val="both"/>
              <w:rPr>
                <w:rFonts w:cs="Calibri"/>
                <w:lang w:val="ro-RO"/>
              </w:rPr>
            </w:pPr>
            <w:r w:rsidRPr="00774608">
              <w:rPr>
                <w:rFonts w:cs="Calibri"/>
                <w:lang w:val="ro-RO"/>
              </w:rPr>
              <w:t>o asigurări medicale;</w:t>
            </w:r>
          </w:p>
          <w:p w:rsidR="00447FBD" w:rsidRPr="00774608" w:rsidRDefault="00447FBD" w:rsidP="00224D82">
            <w:pPr>
              <w:widowControl w:val="0"/>
              <w:spacing w:after="120" w:line="240" w:lineRule="auto"/>
              <w:jc w:val="both"/>
              <w:rPr>
                <w:rFonts w:cs="Calibri"/>
                <w:lang w:val="ro-RO"/>
              </w:rPr>
            </w:pPr>
            <w:r w:rsidRPr="00774608">
              <w:rPr>
                <w:rFonts w:cs="Calibri"/>
                <w:lang w:val="ro-RO"/>
              </w:rPr>
              <w:t>o închiriere sală, echipamente/dotări;</w:t>
            </w:r>
          </w:p>
          <w:p w:rsidR="00447FBD" w:rsidRPr="00774608" w:rsidRDefault="00447FBD" w:rsidP="00224D82">
            <w:pPr>
              <w:widowControl w:val="0"/>
              <w:spacing w:after="120" w:line="240" w:lineRule="auto"/>
              <w:jc w:val="both"/>
              <w:rPr>
                <w:rFonts w:cs="Calibri"/>
                <w:lang w:val="ro-RO"/>
              </w:rPr>
            </w:pPr>
            <w:r w:rsidRPr="00774608">
              <w:rPr>
                <w:rFonts w:cs="Calibri"/>
                <w:lang w:val="ro-RO"/>
              </w:rPr>
              <w:t>o onorarii aferente lectorilor/moderatorilor/ vorbitorilor cheie in cadrul unui eveniment, precum și persoane care participă/contribuie la realizarea evenimentului;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o servicii de traducere </w:t>
            </w:r>
            <w:proofErr w:type="spellStart"/>
            <w:r w:rsidRPr="00774608">
              <w:rPr>
                <w:rFonts w:cs="Calibri"/>
                <w:lang w:val="ro-RO"/>
              </w:rPr>
              <w:t>şi</w:t>
            </w:r>
            <w:proofErr w:type="spellEnd"/>
            <w:r w:rsidRPr="00774608">
              <w:rPr>
                <w:rFonts w:cs="Calibri"/>
                <w:lang w:val="ro-RO"/>
              </w:rPr>
              <w:t xml:space="preserve"> interpretariat aferente </w:t>
            </w:r>
            <w:proofErr w:type="spellStart"/>
            <w:r w:rsidRPr="00774608">
              <w:rPr>
                <w:rFonts w:cs="Calibri"/>
                <w:lang w:val="ro-RO"/>
              </w:rPr>
              <w:t>activităţilor</w:t>
            </w:r>
            <w:proofErr w:type="spellEnd"/>
            <w:r w:rsidRPr="00774608">
              <w:rPr>
                <w:rFonts w:cs="Calibri"/>
                <w:lang w:val="ro-RO"/>
              </w:rPr>
              <w:t xml:space="preserve"> realizate;</w:t>
            </w:r>
          </w:p>
          <w:p w:rsidR="00447FBD" w:rsidRPr="00774608" w:rsidRDefault="00447FBD" w:rsidP="00224D82">
            <w:pPr>
              <w:widowControl w:val="0"/>
              <w:spacing w:after="120" w:line="240" w:lineRule="auto"/>
              <w:jc w:val="both"/>
              <w:rPr>
                <w:rFonts w:cs="Calibri"/>
                <w:lang w:val="ro-RO"/>
              </w:rPr>
            </w:pPr>
            <w:r w:rsidRPr="00774608">
              <w:rPr>
                <w:rFonts w:cs="Calibri"/>
                <w:lang w:val="ro-RO"/>
              </w:rPr>
              <w:t>o tipărire/multiplicare materiale;</w:t>
            </w:r>
          </w:p>
        </w:tc>
        <w:tc>
          <w:tcPr>
            <w:tcW w:w="1560" w:type="pct"/>
            <w:noWrap/>
            <w:vAlign w:val="center"/>
            <w:hideMark/>
          </w:tcPr>
          <w:p w:rsidR="000B26DA" w:rsidRPr="00774608" w:rsidRDefault="00447FBD" w:rsidP="00224D82">
            <w:pPr>
              <w:widowControl w:val="0"/>
              <w:spacing w:after="120" w:line="240" w:lineRule="auto"/>
              <w:jc w:val="both"/>
              <w:rPr>
                <w:rFonts w:cs="Calibri"/>
                <w:lang w:val="ro-RO"/>
              </w:rPr>
            </w:pPr>
            <w:r w:rsidRPr="00774608">
              <w:rPr>
                <w:rFonts w:cs="Calibri"/>
                <w:lang w:val="ro-RO"/>
              </w:rPr>
              <w:lastRenderedPageBreak/>
              <w:t xml:space="preserve">Atât în cazul contractării organizării evenimentelor, cât și în cazul asigurării directe a costurilor de participare la evenimente (decont), la stabilirea costurilor cu deplasările interne se vor utiliza baremurile impuse de H.G. nr. 1860/2006, cu modificările </w:t>
            </w:r>
            <w:proofErr w:type="spellStart"/>
            <w:r w:rsidRPr="00774608">
              <w:rPr>
                <w:rFonts w:cs="Calibri"/>
                <w:lang w:val="ro-RO"/>
              </w:rPr>
              <w:t>şi</w:t>
            </w:r>
            <w:proofErr w:type="spellEnd"/>
            <w:r w:rsidRPr="00774608">
              <w:rPr>
                <w:rFonts w:cs="Calibri"/>
                <w:lang w:val="ro-RO"/>
              </w:rPr>
              <w:t xml:space="preserve"> completările ulterioare, iar pentru deplasările externe se vor utiliza baremurile impuse de H.G. nr.518/1995, cu modificările </w:t>
            </w:r>
            <w:proofErr w:type="spellStart"/>
            <w:r w:rsidRPr="00774608">
              <w:rPr>
                <w:rFonts w:cs="Calibri"/>
                <w:lang w:val="ro-RO"/>
              </w:rPr>
              <w:t>şi</w:t>
            </w:r>
            <w:proofErr w:type="spellEnd"/>
            <w:r w:rsidRPr="00774608">
              <w:rPr>
                <w:rFonts w:cs="Calibri"/>
                <w:lang w:val="ro-RO"/>
              </w:rPr>
              <w:t xml:space="preserve"> completările ulterioare, indiferent de tipul de beneficiar (public/privat).</w:t>
            </w:r>
          </w:p>
          <w:p w:rsidR="00447FBD" w:rsidRPr="00774608" w:rsidRDefault="00447FBD" w:rsidP="00224D82">
            <w:pPr>
              <w:widowControl w:val="0"/>
              <w:spacing w:after="120" w:line="240" w:lineRule="auto"/>
              <w:jc w:val="both"/>
              <w:rPr>
                <w:rFonts w:cs="Calibri"/>
                <w:lang w:val="ro-RO"/>
              </w:rPr>
            </w:pPr>
            <w:r w:rsidRPr="00774608">
              <w:rPr>
                <w:rFonts w:cs="Calibri"/>
                <w:lang w:val="ro-RO"/>
              </w:rPr>
              <w:br/>
            </w:r>
            <w:r w:rsidR="008A7A27" w:rsidRPr="00774608">
              <w:rPr>
                <w:rFonts w:cs="Calibri"/>
                <w:lang w:val="ro-RO"/>
              </w:rPr>
              <w:t>Atenție! În cazul experților cu care se încheie contracte altele decât contracte individuale de muncă în baza prevederilor Codului Civil nu se va asigura diurna!</w:t>
            </w:r>
          </w:p>
        </w:tc>
      </w:tr>
      <w:tr w:rsidR="00447FBD" w:rsidRPr="00774608" w:rsidTr="00CF370B">
        <w:trPr>
          <w:trHeight w:val="447"/>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105</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shd w:val="clear" w:color="auto" w:fill="FFFFFF"/>
                <w:lang w:val="ro-RO"/>
              </w:rPr>
              <w:t>cheltuieli cu servicii pentru derularea activităților proiectului</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 necesare derulării activităților/obținerii rezultatelor, altele decât cele de la subcategoriile 100,104,106.</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311"/>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 IT, de dezvoltare/actualizare aplicații, configurare baze de date, migrare structuri de date etc.</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Cheltuielile pentru servicii informatice </w:t>
            </w:r>
            <w:proofErr w:type="spellStart"/>
            <w:r w:rsidRPr="00774608">
              <w:rPr>
                <w:rFonts w:cs="Calibri"/>
                <w:lang w:val="ro-RO"/>
              </w:rPr>
              <w:t>şi</w:t>
            </w:r>
            <w:proofErr w:type="spellEnd"/>
            <w:r w:rsidRPr="00774608">
              <w:rPr>
                <w:rFonts w:cs="Calibri"/>
                <w:lang w:val="ro-RO"/>
              </w:rPr>
              <w:t xml:space="preserve"> de </w:t>
            </w:r>
            <w:proofErr w:type="spellStart"/>
            <w:r w:rsidRPr="00774608">
              <w:rPr>
                <w:rFonts w:cs="Calibri"/>
                <w:lang w:val="ro-RO"/>
              </w:rPr>
              <w:t>comunicaţii</w:t>
            </w:r>
            <w:proofErr w:type="spellEnd"/>
            <w:r w:rsidRPr="00774608">
              <w:rPr>
                <w:rFonts w:cs="Calibri"/>
                <w:lang w:val="ro-RO"/>
              </w:rPr>
              <w:t xml:space="preserve">: dezvoltare, </w:t>
            </w:r>
            <w:proofErr w:type="spellStart"/>
            <w:r w:rsidRPr="00774608">
              <w:rPr>
                <w:rFonts w:cs="Calibri"/>
                <w:lang w:val="ro-RO"/>
              </w:rPr>
              <w:t>întreţinere</w:t>
            </w:r>
            <w:proofErr w:type="spellEnd"/>
            <w:r w:rsidRPr="00774608">
              <w:rPr>
                <w:rFonts w:cs="Calibri"/>
                <w:lang w:val="ro-RO"/>
              </w:rPr>
              <w:t xml:space="preserve">, actualizare </w:t>
            </w:r>
            <w:proofErr w:type="spellStart"/>
            <w:r w:rsidRPr="00774608">
              <w:rPr>
                <w:rFonts w:cs="Calibri"/>
                <w:lang w:val="ro-RO"/>
              </w:rPr>
              <w:t>aplicaţii</w:t>
            </w:r>
            <w:proofErr w:type="spellEnd"/>
            <w:r w:rsidRPr="00774608">
              <w:rPr>
                <w:rFonts w:cs="Calibri"/>
                <w:lang w:val="ro-RO"/>
              </w:rPr>
              <w:t xml:space="preserve"> informatice, configurare și implementare baze de date, migrare și integrare structuri de date existente, dezvoltare website/portal</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bl>
    <w:p w:rsidR="006D619B" w:rsidRPr="00774608" w:rsidRDefault="006D619B" w:rsidP="00A17F94">
      <w:pPr>
        <w:spacing w:after="120" w:line="240" w:lineRule="auto"/>
        <w:jc w:val="both"/>
        <w:outlineLvl w:val="0"/>
        <w:rPr>
          <w:rFonts w:cs="Calibri"/>
          <w:bCs/>
          <w:lang w:val="ro-RO"/>
        </w:rPr>
      </w:pPr>
    </w:p>
    <w:p w:rsidR="00447FBD" w:rsidRPr="00774608" w:rsidRDefault="00447FBD" w:rsidP="00A17F94">
      <w:pPr>
        <w:spacing w:after="120" w:line="240" w:lineRule="auto"/>
        <w:jc w:val="both"/>
        <w:rPr>
          <w:rFonts w:cs="Calibri"/>
          <w:lang w:val="ro-RO"/>
        </w:rPr>
        <w:sectPr w:rsidR="00447FBD" w:rsidRPr="00774608"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774608" w:rsidTr="0019178D">
        <w:tc>
          <w:tcPr>
            <w:tcW w:w="9747" w:type="dxa"/>
            <w:shd w:val="clear" w:color="auto" w:fill="BFBFBF"/>
          </w:tcPr>
          <w:p w:rsidR="000A3B4C" w:rsidRPr="00774608" w:rsidRDefault="000A3B4C" w:rsidP="00A17F94">
            <w:pPr>
              <w:spacing w:after="120" w:line="240" w:lineRule="auto"/>
              <w:jc w:val="both"/>
              <w:rPr>
                <w:rFonts w:cs="Calibri"/>
                <w:b/>
                <w:bCs/>
                <w:lang w:val="ro-RO"/>
              </w:rPr>
            </w:pPr>
            <w:r w:rsidRPr="00774608">
              <w:rPr>
                <w:rFonts w:cs="Calibri"/>
                <w:b/>
                <w:bCs/>
                <w:lang w:val="ro-RO"/>
              </w:rPr>
              <w:lastRenderedPageBreak/>
              <w:t>ATENŢIE:</w:t>
            </w:r>
          </w:p>
          <w:p w:rsidR="000A3B4C" w:rsidRPr="00774608" w:rsidRDefault="000A3B4C" w:rsidP="00A17F94">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rsidR="000A3B4C" w:rsidRPr="00774608" w:rsidRDefault="000A3B4C" w:rsidP="00A17F94">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w:t>
            </w:r>
            <w:proofErr w:type="spellStart"/>
            <w:r w:rsidRPr="00774608">
              <w:rPr>
                <w:rFonts w:cs="Calibri"/>
                <w:b/>
                <w:lang w:val="ro-RO"/>
              </w:rPr>
              <w:t>bugeta</w:t>
            </w:r>
            <w:proofErr w:type="spellEnd"/>
            <w:r w:rsidRPr="00774608">
              <w:rPr>
                <w:rFonts w:cs="Calibri"/>
                <w:b/>
                <w:lang w:val="ro-RO"/>
              </w:rPr>
              <w:t xml:space="preserve"> un cost estimat de 1700,00 lei.</w:t>
            </w:r>
          </w:p>
        </w:tc>
      </w:tr>
    </w:tbl>
    <w:p w:rsidR="00BF61BE" w:rsidRPr="00774608" w:rsidRDefault="00BF61BE" w:rsidP="00A17F94">
      <w:pPr>
        <w:spacing w:after="120" w:line="240" w:lineRule="auto"/>
        <w:jc w:val="both"/>
        <w:rPr>
          <w:rFonts w:cs="Calibri"/>
          <w:lang w:val="ro-RO"/>
        </w:rPr>
      </w:pPr>
    </w:p>
    <w:p w:rsidR="00152B3F" w:rsidRPr="00774608" w:rsidRDefault="00152B3F" w:rsidP="00152B3F">
      <w:pPr>
        <w:spacing w:after="120" w:line="240" w:lineRule="auto"/>
        <w:jc w:val="both"/>
        <w:rPr>
          <w:rFonts w:cs="Calibri"/>
          <w:bCs/>
          <w:lang w:val="ro-RO"/>
        </w:rPr>
      </w:pPr>
      <w:r w:rsidRPr="00774608">
        <w:rPr>
          <w:rFonts w:cs="Calibri"/>
          <w:bCs/>
          <w:lang w:val="ro-RO"/>
        </w:rPr>
        <w:t>ATENŢIE:</w:t>
      </w:r>
    </w:p>
    <w:p w:rsidR="00152B3F" w:rsidRPr="00774608" w:rsidRDefault="00152B3F" w:rsidP="00152B3F">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rsidR="00A37C5E" w:rsidRPr="00774608" w:rsidRDefault="00CC097B" w:rsidP="00A17F94">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89"/>
      <w:bookmarkEnd w:id="90"/>
    </w:p>
    <w:p w:rsidR="000A3B4C" w:rsidRPr="00774608" w:rsidRDefault="000A3B4C" w:rsidP="00E00D6C">
      <w:pPr>
        <w:numPr>
          <w:ilvl w:val="0"/>
          <w:numId w:val="20"/>
        </w:numPr>
        <w:spacing w:after="120" w:line="240" w:lineRule="auto"/>
        <w:jc w:val="both"/>
        <w:rPr>
          <w:rFonts w:cs="Calibri"/>
          <w:b/>
          <w:lang w:val="ro-RO"/>
        </w:rPr>
      </w:pPr>
      <w:bookmarkStart w:id="92" w:name="_Toc450555515"/>
      <w:bookmarkStart w:id="93"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rsidR="00A9162D" w:rsidRDefault="000A3B4C" w:rsidP="00A9162D">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rsidR="00871394" w:rsidRDefault="00A9162D" w:rsidP="00A9162D">
      <w:pPr>
        <w:spacing w:after="120" w:line="240" w:lineRule="auto"/>
        <w:jc w:val="both"/>
        <w:rPr>
          <w:rFonts w:cs="Calibri"/>
          <w:lang w:val="ro-RO"/>
        </w:rPr>
      </w:pPr>
      <w:r>
        <w:rPr>
          <w:rFonts w:cs="Calibri"/>
          <w:lang w:val="ro-RO"/>
        </w:rPr>
        <w:t>E</w:t>
      </w:r>
      <w:r w:rsidR="00871394" w:rsidRPr="00A9162D">
        <w:rPr>
          <w:rFonts w:cs="Calibri"/>
          <w:lang w:val="ro-RO"/>
        </w:rPr>
        <w:t xml:space="preserve">xcepție </w:t>
      </w:r>
      <w:r w:rsidRPr="00A9162D">
        <w:rPr>
          <w:rFonts w:cs="Calibri"/>
          <w:lang w:val="ro-RO"/>
        </w:rPr>
        <w:t>face CNAS</w:t>
      </w:r>
      <w:r w:rsidR="00FE53A2">
        <w:rPr>
          <w:rFonts w:cs="Calibri"/>
          <w:lang w:val="ro-RO"/>
        </w:rPr>
        <w:t xml:space="preserve"> </w:t>
      </w:r>
      <w:r w:rsidRPr="00A9162D">
        <w:rPr>
          <w:rFonts w:cs="Calibri"/>
          <w:lang w:val="ro-RO"/>
        </w:rPr>
        <w:t>pentru care suma cheltuielilor aferente subcategoriilor menționate mai sus nu va depăși 15% din valoarea eligibilă a proiectului, la momentul contractării.</w:t>
      </w:r>
    </w:p>
    <w:p w:rsidR="000A3B4C" w:rsidRPr="00774608" w:rsidRDefault="000A3B4C" w:rsidP="00A17F94">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rsidR="000A3B4C" w:rsidRPr="00774608" w:rsidRDefault="000A3B4C" w:rsidP="00A17F94">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rsidR="000A3B4C" w:rsidRPr="00774608" w:rsidRDefault="000A3B4C" w:rsidP="00BF61BE">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rsidR="000A3B4C" w:rsidRPr="00774608" w:rsidRDefault="000A3B4C" w:rsidP="00A17F94">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774608">
        <w:rPr>
          <w:rFonts w:cs="Calibri"/>
          <w:lang w:val="ro-RO"/>
        </w:rPr>
        <w:t>subactivitățile</w:t>
      </w:r>
      <w:proofErr w:type="spellEnd"/>
      <w:r w:rsidRPr="00774608">
        <w:rPr>
          <w:rFonts w:cs="Calibri"/>
          <w:lang w:val="ro-RO"/>
        </w:rPr>
        <w:t xml:space="preserve"> aferente, se vor </w:t>
      </w:r>
      <w:proofErr w:type="spellStart"/>
      <w:r w:rsidRPr="00774608">
        <w:rPr>
          <w:rFonts w:cs="Calibri"/>
          <w:lang w:val="ro-RO"/>
        </w:rPr>
        <w:t>bugeta</w:t>
      </w:r>
      <w:proofErr w:type="spellEnd"/>
      <w:r w:rsidRPr="00774608">
        <w:rPr>
          <w:rFonts w:cs="Calibri"/>
          <w:lang w:val="ro-RO"/>
        </w:rPr>
        <w:t xml:space="preserve">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rsidR="000A3B4C" w:rsidRPr="00774608" w:rsidRDefault="000A3B4C" w:rsidP="00A17F94">
      <w:pPr>
        <w:spacing w:after="120" w:line="240" w:lineRule="auto"/>
        <w:jc w:val="both"/>
        <w:rPr>
          <w:rFonts w:cs="Calibri"/>
          <w:b/>
          <w:lang w:val="ro-RO"/>
        </w:rPr>
      </w:pPr>
      <w:r w:rsidRPr="00774608">
        <w:rPr>
          <w:rFonts w:cs="Calibri"/>
          <w:b/>
          <w:lang w:val="ro-RO"/>
        </w:rPr>
        <w:lastRenderedPageBreak/>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774608" w:rsidTr="0019178D">
        <w:trPr>
          <w:trHeight w:val="346"/>
        </w:trPr>
        <w:tc>
          <w:tcPr>
            <w:tcW w:w="9627" w:type="dxa"/>
            <w:shd w:val="clear" w:color="auto" w:fill="BFBFBF"/>
          </w:tcPr>
          <w:bookmarkEnd w:id="92"/>
          <w:bookmarkEnd w:id="93"/>
          <w:p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ATENȚIE!</w:t>
            </w:r>
          </w:p>
          <w:p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rsidR="000A3B4C" w:rsidRPr="00774608" w:rsidRDefault="000A3B4C" w:rsidP="00A17F94">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rsidR="00451E21" w:rsidRDefault="00451E21" w:rsidP="00A17F94">
      <w:pPr>
        <w:spacing w:after="120" w:line="240" w:lineRule="auto"/>
        <w:jc w:val="both"/>
        <w:rPr>
          <w:rFonts w:cs="Calibri"/>
          <w:bCs/>
          <w:lang w:val="ro-RO"/>
        </w:rPr>
      </w:pPr>
    </w:p>
    <w:p w:rsidR="008D087C" w:rsidRPr="00774608" w:rsidRDefault="008D087C" w:rsidP="00A17F94">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rsidR="000A3B4C" w:rsidRPr="00774608" w:rsidRDefault="000A3B4C"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rsidR="000A3B4C" w:rsidRPr="00774608" w:rsidRDefault="000A3B4C" w:rsidP="00A17F94">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rsidR="000A3B4C" w:rsidRPr="00774608" w:rsidRDefault="000A3B4C" w:rsidP="00A17F94">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rsidR="00B619E8" w:rsidRPr="00774608" w:rsidRDefault="00B619E8" w:rsidP="00B619E8">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rsidR="008C7028" w:rsidRPr="00774608" w:rsidRDefault="008C7028" w:rsidP="008E4B1F">
      <w:pPr>
        <w:spacing w:after="120" w:line="240" w:lineRule="auto"/>
        <w:ind w:left="360"/>
        <w:jc w:val="both"/>
        <w:rPr>
          <w:rFonts w:eastAsia="Times New Roman" w:cs="Calibri"/>
          <w:color w:val="000000"/>
          <w:lang w:val="ro-RO"/>
        </w:rPr>
      </w:pPr>
    </w:p>
    <w:p w:rsidR="00891469" w:rsidRPr="00774608" w:rsidRDefault="00891469" w:rsidP="00A17F94">
      <w:pPr>
        <w:spacing w:after="120" w:line="240" w:lineRule="auto"/>
        <w:jc w:val="both"/>
        <w:rPr>
          <w:rFonts w:eastAsia="Times New Roman" w:cs="Calibri"/>
          <w:color w:val="000000"/>
          <w:lang w:val="ro-RO"/>
        </w:rPr>
      </w:pPr>
    </w:p>
    <w:p w:rsidR="000A3B4C" w:rsidRPr="00774608" w:rsidRDefault="000A3B4C" w:rsidP="00EB6C4A">
      <w:pPr>
        <w:pStyle w:val="Heading1"/>
        <w:pageBreakBefore/>
        <w:spacing w:after="120"/>
        <w:jc w:val="center"/>
        <w:rPr>
          <w:rFonts w:cs="Calibri"/>
          <w:sz w:val="22"/>
          <w:szCs w:val="22"/>
          <w:lang w:val="ro-RO"/>
        </w:rPr>
      </w:pPr>
      <w:bookmarkStart w:id="94" w:name="_Toc489006362"/>
      <w:bookmarkStart w:id="95" w:name="_Toc510173703"/>
      <w:r w:rsidRPr="00774608">
        <w:rPr>
          <w:rFonts w:cs="Calibri"/>
          <w:sz w:val="22"/>
          <w:szCs w:val="22"/>
          <w:lang w:val="ro-RO"/>
        </w:rPr>
        <w:lastRenderedPageBreak/>
        <w:t>SECȚIUNEA 4: Pașii necesari accesării finanțării POCA</w:t>
      </w:r>
      <w:bookmarkEnd w:id="94"/>
      <w:bookmarkEnd w:id="95"/>
    </w:p>
    <w:p w:rsidR="000A3B4C" w:rsidRPr="00774608" w:rsidRDefault="000A3B4C" w:rsidP="00A17F94">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rsidR="00F6621C" w:rsidRPr="00774608"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6" w:name="_Toc489532704"/>
      <w:bookmarkStart w:id="97" w:name="_Toc510173704"/>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96"/>
      <w:bookmarkEnd w:id="97"/>
      <w:r w:rsidRPr="00774608">
        <w:rPr>
          <w:rFonts w:ascii="Calibri" w:eastAsia="Arial" w:hAnsi="Calibri" w:cs="Calibri"/>
          <w:color w:val="000000"/>
          <w:sz w:val="22"/>
          <w:szCs w:val="22"/>
          <w:lang w:val="ro-RO"/>
        </w:rPr>
        <w:t xml:space="preserve"> </w:t>
      </w:r>
    </w:p>
    <w:p w:rsidR="00F6621C" w:rsidRPr="00774608" w:rsidRDefault="00F6621C" w:rsidP="00E00D6C">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rsidR="00F6621C" w:rsidRPr="00774608" w:rsidRDefault="00F6621C" w:rsidP="00F6621C">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 xml:space="preserve">poate fi depusă începând cu data lansării oficiale a cererii de proiecte. Sesiunea de depunere a fișelor de proiect va rămâne deschisă până la data de </w:t>
      </w:r>
      <w:r w:rsidR="006E13F6">
        <w:rPr>
          <w:rFonts w:eastAsia="Trebuchet MS"/>
          <w:b/>
        </w:rPr>
        <w:t>20 septembrie 2018</w:t>
      </w:r>
      <w:r w:rsidR="00280B55" w:rsidRPr="00774608">
        <w:rPr>
          <w:rFonts w:eastAsia="Trebuchet MS"/>
          <w:b/>
        </w:rPr>
        <w:t xml:space="preserve">, ora </w:t>
      </w:r>
      <w:r w:rsidR="006E13F6">
        <w:rPr>
          <w:rFonts w:eastAsia="Trebuchet MS"/>
          <w:b/>
        </w:rPr>
        <w:t>17.00</w:t>
      </w:r>
      <w:r w:rsidR="00280B55" w:rsidRPr="00774608">
        <w:rPr>
          <w:rFonts w:eastAsia="Trebuchet MS"/>
          <w:b/>
        </w:rPr>
        <w:t>.</w:t>
      </w:r>
    </w:p>
    <w:p w:rsidR="00F6621C" w:rsidRPr="00774608" w:rsidRDefault="00F6621C" w:rsidP="00F6621C">
      <w:pPr>
        <w:pStyle w:val="Normal1"/>
        <w:spacing w:after="120" w:line="240" w:lineRule="auto"/>
        <w:jc w:val="both"/>
        <w:rPr>
          <w:rFonts w:eastAsia="Trebuchet MS"/>
        </w:rPr>
      </w:pPr>
      <w:r w:rsidRPr="00774608">
        <w:rPr>
          <w:rFonts w:eastAsia="Trebuchet MS"/>
        </w:rPr>
        <w:t>Fișa de proiect se va transmite</w:t>
      </w:r>
      <w:r w:rsidR="0095404B" w:rsidRPr="00774608">
        <w:rPr>
          <w:rFonts w:eastAsia="Trebuchet MS"/>
        </w:rPr>
        <w:t xml:space="preserve"> exclusiv</w:t>
      </w:r>
      <w:r w:rsidRPr="00774608">
        <w:rPr>
          <w:rFonts w:eastAsia="Trebuchet MS"/>
        </w:rPr>
        <w:t xml:space="preserve"> în format </w:t>
      </w:r>
      <w:r w:rsidR="000C4A20" w:rsidRPr="00774608">
        <w:rPr>
          <w:rFonts w:eastAsia="Trebuchet MS"/>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98"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98"/>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POCA/3</w:t>
      </w:r>
      <w:r w:rsidR="00412E6F" w:rsidRPr="00774608">
        <w:rPr>
          <w:rFonts w:eastAsia="Trebuchet MS"/>
        </w:rPr>
        <w:t>99</w:t>
      </w:r>
      <w:r w:rsidRPr="00774608">
        <w:rPr>
          <w:rFonts w:eastAsia="Trebuchet MS"/>
        </w:rPr>
        <w:t>/1/</w:t>
      </w:r>
      <w:r w:rsidR="00412E6F" w:rsidRPr="00774608">
        <w:rPr>
          <w:rFonts w:eastAsia="Trebuchet MS"/>
        </w:rPr>
        <w:t>1</w:t>
      </w:r>
      <w:r w:rsidRPr="00774608">
        <w:rPr>
          <w:rFonts w:eastAsia="Trebuchet MS"/>
        </w:rPr>
        <w:t>/(IP1</w:t>
      </w:r>
      <w:r w:rsidR="00412E6F" w:rsidRPr="00774608">
        <w:rPr>
          <w:rFonts w:eastAsia="Trebuchet MS"/>
        </w:rPr>
        <w:t>2</w:t>
      </w:r>
      <w:r w:rsidRPr="00774608">
        <w:rPr>
          <w:rFonts w:eastAsia="Trebuchet MS"/>
        </w:rPr>
        <w:t>/2018).</w:t>
      </w:r>
    </w:p>
    <w:p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rsidR="00F6621C" w:rsidRPr="00774608" w:rsidRDefault="00F6621C" w:rsidP="00F6621C">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rsidR="00F6621C" w:rsidRPr="00774608" w:rsidRDefault="00F6621C" w:rsidP="00F6621C">
      <w:pPr>
        <w:pStyle w:val="Normal1"/>
        <w:spacing w:after="120" w:line="240" w:lineRule="auto"/>
        <w:jc w:val="both"/>
        <w:rPr>
          <w:rFonts w:eastAsia="Trebuchet MS"/>
        </w:rPr>
      </w:pPr>
      <w:r w:rsidRPr="00774608">
        <w:rPr>
          <w:rFonts w:eastAsia="Trebuchet MS"/>
        </w:rPr>
        <w:t>În acest sens vor fi analizate următoarele aspecte:</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legătura clară și contribuția la realizarea obiectivelor specifice, rezultatelor și a indicatorilor POCA, aferente prezentului Ghid;</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legătura clară cu obiectivele generale, specifice și măsurile din Strategia pentru consolidarea administrației publice 2014 - 2020, obiectivele generale/specifice și măsurile din Strategia privind mai buna reglementare 2014 – 2020, precum și măsurile din planul de măsuri pentru implementarea managementului calității 2016 – 2020 și planul de măsuri de simplificare pentru cetățeni la care proiectul își propune să contribuie;</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legătura clară între grupul țintă, schimbarea propusă și modalitate de implementare a ideii de proiect;</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respectarea formatului fișei de proiect și a cerințelor menționate în aceasta;</w:t>
      </w:r>
    </w:p>
    <w:p w:rsidR="00F6621C"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tipul de intervenție/proiectul propus nu ar putea face obiectul mecanismului competitiv.</w:t>
      </w:r>
    </w:p>
    <w:p w:rsidR="00F6621C" w:rsidRPr="00774608" w:rsidRDefault="00F6621C" w:rsidP="00F6621C">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rsidR="00F6621C" w:rsidRPr="00774608" w:rsidRDefault="00F6621C" w:rsidP="00F6621C">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rsidR="00F6621C" w:rsidRPr="00774608" w:rsidRDefault="00F6621C" w:rsidP="00F6621C">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rsidR="00F6621C" w:rsidRPr="00774608" w:rsidRDefault="00F6621C" w:rsidP="00F6621C">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rsidR="003E7F35" w:rsidRDefault="003E7F35" w:rsidP="00F6621C">
      <w:pPr>
        <w:pStyle w:val="Normal1"/>
        <w:spacing w:after="120" w:line="240" w:lineRule="auto"/>
        <w:jc w:val="both"/>
        <w:rPr>
          <w:rFonts w:eastAsia="Trebuchet MS"/>
        </w:rPr>
      </w:pPr>
    </w:p>
    <w:p w:rsidR="00A04308" w:rsidRDefault="00A04308" w:rsidP="00F6621C">
      <w:pPr>
        <w:pStyle w:val="Normal1"/>
        <w:spacing w:after="120" w:line="240" w:lineRule="auto"/>
        <w:jc w:val="both"/>
        <w:rPr>
          <w:rFonts w:eastAsia="Trebuchet MS"/>
        </w:rPr>
      </w:pPr>
    </w:p>
    <w:p w:rsidR="00E81D12" w:rsidRPr="00774608" w:rsidRDefault="00E81D12" w:rsidP="00F6621C">
      <w:pPr>
        <w:pStyle w:val="Normal1"/>
        <w:spacing w:after="120" w:line="240" w:lineRule="auto"/>
        <w:jc w:val="both"/>
        <w:rPr>
          <w:rFonts w:eastAsia="Trebuchet MS"/>
        </w:rPr>
      </w:pPr>
    </w:p>
    <w:p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lastRenderedPageBreak/>
        <w:t xml:space="preserve">PASUL 3 - DEZVOLTAREA CERERII DE FINANȚARE </w:t>
      </w:r>
    </w:p>
    <w:p w:rsidR="00F6621C" w:rsidRPr="00774608" w:rsidRDefault="00F6621C" w:rsidP="00F6621C">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101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10139"/>
      </w:tblGrid>
      <w:tr w:rsidR="00F6621C" w:rsidRPr="00774608" w:rsidTr="00425B1B">
        <w:tc>
          <w:tcPr>
            <w:tcW w:w="10139" w:type="dxa"/>
            <w:shd w:val="clear" w:color="auto" w:fill="D0CECE"/>
          </w:tcPr>
          <w:p w:rsidR="00F6621C" w:rsidRPr="00774608" w:rsidRDefault="00F6621C" w:rsidP="006C466F">
            <w:pPr>
              <w:pStyle w:val="Normal1"/>
              <w:spacing w:after="120" w:line="240" w:lineRule="auto"/>
              <w:jc w:val="both"/>
              <w:rPr>
                <w:rFonts w:eastAsia="Trebuchet MS"/>
                <w:b/>
              </w:rPr>
            </w:pPr>
            <w:r w:rsidRPr="00774608">
              <w:rPr>
                <w:rFonts w:eastAsia="Arial"/>
                <w:b/>
              </w:rPr>
              <w:t>ATENȚIE!</w:t>
            </w:r>
          </w:p>
          <w:p w:rsidR="00F6621C" w:rsidRPr="00774608" w:rsidRDefault="00F6621C" w:rsidP="006C466F">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rsidR="000A3B4C" w:rsidRPr="00774608" w:rsidRDefault="000A3B4C" w:rsidP="00A17F94">
      <w:pPr>
        <w:spacing w:after="120" w:line="240" w:lineRule="auto"/>
        <w:jc w:val="both"/>
        <w:rPr>
          <w:rFonts w:cs="Calibri"/>
          <w:lang w:val="ro-RO"/>
        </w:rPr>
      </w:pPr>
    </w:p>
    <w:p w:rsidR="000A3B4C" w:rsidRPr="00774608" w:rsidRDefault="000A3B4C" w:rsidP="00A17F94">
      <w:pPr>
        <w:pStyle w:val="Heading2"/>
        <w:spacing w:before="0" w:after="120" w:line="240" w:lineRule="auto"/>
        <w:jc w:val="both"/>
        <w:rPr>
          <w:rFonts w:ascii="Calibri" w:hAnsi="Calibri" w:cs="Calibri"/>
          <w:color w:val="auto"/>
          <w:sz w:val="22"/>
          <w:szCs w:val="22"/>
          <w:lang w:val="ro-RO"/>
        </w:rPr>
      </w:pPr>
      <w:bookmarkStart w:id="99" w:name="_Toc489006363"/>
      <w:bookmarkStart w:id="100" w:name="_Toc510173705"/>
      <w:r w:rsidRPr="00774608">
        <w:rPr>
          <w:rFonts w:ascii="Calibri" w:hAnsi="Calibri" w:cs="Calibri"/>
          <w:color w:val="auto"/>
          <w:sz w:val="22"/>
          <w:szCs w:val="22"/>
          <w:lang w:val="ro-RO"/>
        </w:rPr>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99"/>
      <w:bookmarkEnd w:id="100"/>
      <w:r w:rsidRPr="00774608">
        <w:rPr>
          <w:rFonts w:ascii="Calibri" w:hAnsi="Calibri" w:cs="Calibri"/>
          <w:color w:val="auto"/>
          <w:sz w:val="22"/>
          <w:szCs w:val="22"/>
          <w:lang w:val="ro-RO"/>
        </w:rPr>
        <w:t xml:space="preserve"> </w:t>
      </w:r>
    </w:p>
    <w:p w:rsidR="000A3B4C" w:rsidRPr="00774608" w:rsidRDefault="000A3B4C" w:rsidP="00A17F94">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rsidR="000A3B4C" w:rsidRPr="00774608" w:rsidRDefault="000A3B4C" w:rsidP="00A17F94">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 </w:t>
      </w:r>
      <w:r w:rsidR="009C7A17">
        <w:rPr>
          <w:rFonts w:cs="Calibri"/>
          <w:b/>
          <w:bCs/>
          <w:lang w:val="ro-RO"/>
        </w:rPr>
        <w:t>10</w:t>
      </w:r>
      <w:r w:rsidR="006E13F6">
        <w:rPr>
          <w:rFonts w:cs="Calibri"/>
          <w:b/>
          <w:bCs/>
          <w:lang w:val="ro-RO"/>
        </w:rPr>
        <w:t xml:space="preserve"> </w:t>
      </w:r>
      <w:r w:rsidR="009C7A17">
        <w:rPr>
          <w:rFonts w:cs="Calibri"/>
          <w:b/>
          <w:bCs/>
          <w:lang w:val="ro-RO"/>
        </w:rPr>
        <w:t>dec</w:t>
      </w:r>
      <w:r w:rsidR="006E13F6">
        <w:rPr>
          <w:rFonts w:cs="Calibri"/>
          <w:b/>
          <w:bCs/>
          <w:lang w:val="ro-RO"/>
        </w:rPr>
        <w:t>embrie 2018</w:t>
      </w:r>
      <w:r w:rsidRPr="00774608">
        <w:rPr>
          <w:rFonts w:cs="Calibri"/>
          <w:b/>
          <w:bCs/>
          <w:lang w:val="ro-RO"/>
        </w:rPr>
        <w:t xml:space="preserve">, ora </w:t>
      </w:r>
      <w:r w:rsidR="006E13F6">
        <w:rPr>
          <w:rFonts w:cs="Calibri"/>
          <w:b/>
          <w:bCs/>
          <w:lang w:val="ro-RO"/>
        </w:rPr>
        <w:t>17.00.</w:t>
      </w:r>
      <w:r w:rsidRPr="00774608">
        <w:rPr>
          <w:rFonts w:cs="Calibri"/>
          <w:b/>
          <w:bCs/>
          <w:lang w:val="ro-RO"/>
        </w:rPr>
        <w:t xml:space="preserve">  </w:t>
      </w:r>
    </w:p>
    <w:p w:rsidR="0013717A" w:rsidRPr="00774608" w:rsidRDefault="00F076A7"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rsidR="000A3B4C" w:rsidRPr="00774608" w:rsidRDefault="000A3B4C" w:rsidP="00A17F94">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rsidR="000A3B4C" w:rsidRPr="00774608" w:rsidRDefault="000A3B4C" w:rsidP="00A17F94">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9"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rsidR="000A3B4C" w:rsidRPr="00774608" w:rsidRDefault="000A3B4C" w:rsidP="00A17F94">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774608" w:rsidTr="0019178D">
        <w:trPr>
          <w:trHeight w:val="488"/>
        </w:trPr>
        <w:tc>
          <w:tcPr>
            <w:tcW w:w="9804" w:type="dxa"/>
            <w:shd w:val="clear" w:color="auto" w:fill="BFBFBF"/>
          </w:tcPr>
          <w:p w:rsidR="000A3B4C" w:rsidRPr="00774608" w:rsidRDefault="000A3B4C" w:rsidP="00A17F94">
            <w:pPr>
              <w:spacing w:after="120" w:line="240" w:lineRule="auto"/>
              <w:jc w:val="both"/>
              <w:rPr>
                <w:rFonts w:cs="Calibri"/>
                <w:b/>
                <w:lang w:val="ro-RO"/>
              </w:rPr>
            </w:pPr>
            <w:r w:rsidRPr="00774608">
              <w:rPr>
                <w:rFonts w:cs="Calibri"/>
                <w:b/>
                <w:bCs/>
                <w:lang w:val="ro-RO"/>
              </w:rPr>
              <w:t>ATENȚIE!</w:t>
            </w:r>
          </w:p>
          <w:p w:rsidR="000A3B4C" w:rsidRPr="00774608" w:rsidRDefault="000A3B4C" w:rsidP="00A17F94">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rsidR="000A3B4C" w:rsidRPr="00774608" w:rsidRDefault="000A3B4C" w:rsidP="00A17F94">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rsidR="000A512B" w:rsidRPr="00774608" w:rsidRDefault="000A512B" w:rsidP="00A17F94">
      <w:pPr>
        <w:spacing w:after="120" w:line="240" w:lineRule="auto"/>
        <w:jc w:val="both"/>
        <w:rPr>
          <w:rFonts w:eastAsia="Times New Roman" w:cs="Calibri"/>
          <w:color w:val="000000"/>
          <w:lang w:val="ro-RO"/>
        </w:rPr>
      </w:pP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lastRenderedPageBreak/>
        <w:t>În cazul solicitării unor informații suplimentare, termenul pentru verificarea conformității și eligibilității se suspendă până la primirea acestora.</w:t>
      </w:r>
    </w:p>
    <w:p w:rsidR="005615F0"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rsidR="00F66BA5" w:rsidRPr="00774608" w:rsidRDefault="00F66BA5" w:rsidP="00A17F94">
      <w:pPr>
        <w:spacing w:after="120" w:line="240" w:lineRule="auto"/>
        <w:ind w:left="360"/>
        <w:jc w:val="both"/>
        <w:rPr>
          <w:rFonts w:eastAsia="Times New Roman" w:cs="Calibri"/>
          <w:b/>
          <w:bCs/>
          <w:color w:val="000000"/>
          <w:lang w:val="ro-RO"/>
        </w:rPr>
      </w:pPr>
    </w:p>
    <w:p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PASUL 3 - EVALUAREA TEHNICĂ ȘI FINANCIARĂ </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rsidR="008B32AF" w:rsidRPr="00774608" w:rsidRDefault="008B32AF" w:rsidP="008B32AF">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rsidR="005E3329" w:rsidRPr="00774608" w:rsidRDefault="005E3329" w:rsidP="005E3329">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rsidR="00752DE9" w:rsidRPr="00774608"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774608"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ATENȚIE!</w:t>
            </w:r>
          </w:p>
          <w:p w:rsidR="007573C5" w:rsidRPr="00774608" w:rsidRDefault="00752DE9" w:rsidP="007573C5">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rsidR="007573C5" w:rsidRPr="00774608" w:rsidRDefault="007573C5" w:rsidP="001845AC">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rsidR="004F2297" w:rsidRPr="00774608" w:rsidRDefault="004F2297" w:rsidP="004F2297">
      <w:pPr>
        <w:spacing w:after="120" w:line="240" w:lineRule="auto"/>
        <w:jc w:val="both"/>
        <w:rPr>
          <w:rFonts w:eastAsia="Times New Roman" w:cs="Calibri"/>
          <w:color w:val="000000"/>
          <w:highlight w:val="yellow"/>
          <w:lang w:val="ro-RO"/>
        </w:rPr>
      </w:pPr>
    </w:p>
    <w:p w:rsidR="004F2297" w:rsidRPr="00774608" w:rsidRDefault="004F2297" w:rsidP="004F2297">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rsidR="000A04BA" w:rsidRPr="00774608" w:rsidRDefault="000A04BA"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rsidR="003A08D7" w:rsidRPr="00774608" w:rsidRDefault="003A08D7" w:rsidP="003A08D7">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rsidR="002F4990"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lastRenderedPageBreak/>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rsidR="00752DE9"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rsidR="00005CA7" w:rsidRPr="00774608" w:rsidRDefault="00005CA7" w:rsidP="00A17F94">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rsidR="00D14438" w:rsidRPr="00774608" w:rsidRDefault="00D14438" w:rsidP="00D14438">
      <w:pPr>
        <w:spacing w:after="120" w:line="240" w:lineRule="auto"/>
        <w:jc w:val="both"/>
        <w:rPr>
          <w:rFonts w:eastAsia="Times New Roman" w:cs="Calibri"/>
          <w:shd w:val="clear" w:color="auto" w:fill="FFFFFF"/>
          <w:lang w:val="ro-RO"/>
        </w:rPr>
      </w:pPr>
      <w:bookmarkStart w:id="101"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rsidR="00D14438" w:rsidRPr="00774608" w:rsidRDefault="00D14438" w:rsidP="00D14438">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rsidR="00D14438" w:rsidRPr="00774608" w:rsidRDefault="00D14438" w:rsidP="00D14438">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rsidR="00D14438" w:rsidRPr="00774608" w:rsidRDefault="00D14438" w:rsidP="00D14438">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rsidR="00B600B2"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774608" w:rsidTr="00B600B2">
        <w:trPr>
          <w:trHeight w:val="900"/>
        </w:trPr>
        <w:tc>
          <w:tcPr>
            <w:tcW w:w="9411" w:type="dxa"/>
            <w:shd w:val="clear" w:color="auto" w:fill="BFBFBF"/>
          </w:tcPr>
          <w:p w:rsidR="00B600B2" w:rsidRPr="00774608" w:rsidRDefault="00B600B2" w:rsidP="00E51DE8">
            <w:pPr>
              <w:spacing w:after="120" w:line="240" w:lineRule="auto"/>
              <w:jc w:val="both"/>
              <w:rPr>
                <w:rFonts w:eastAsia="Times New Roman" w:cs="Calibri"/>
                <w:lang w:val="ro-RO"/>
              </w:rPr>
            </w:pPr>
            <w:r w:rsidRPr="00774608">
              <w:rPr>
                <w:rFonts w:eastAsia="Times New Roman" w:cs="Calibri"/>
                <w:bCs/>
                <w:lang w:val="ro-RO"/>
              </w:rPr>
              <w:t>ATENȚIE!</w:t>
            </w:r>
          </w:p>
          <w:p w:rsidR="00B600B2" w:rsidRPr="00774608" w:rsidRDefault="00B600B2" w:rsidP="00E51DE8">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rsidR="007F4536" w:rsidRPr="00774608" w:rsidRDefault="007F4536" w:rsidP="00A17F94">
      <w:pPr>
        <w:pStyle w:val="Heading2"/>
        <w:spacing w:before="0" w:after="120" w:line="240" w:lineRule="auto"/>
        <w:jc w:val="both"/>
        <w:rPr>
          <w:rFonts w:ascii="Calibri" w:hAnsi="Calibri" w:cs="Calibri"/>
          <w:color w:val="auto"/>
          <w:sz w:val="22"/>
          <w:szCs w:val="22"/>
          <w:lang w:val="ro-RO"/>
        </w:rPr>
      </w:pPr>
      <w:bookmarkStart w:id="102" w:name="_Toc510173706"/>
    </w:p>
    <w:p w:rsidR="00005CA7" w:rsidRPr="00774608" w:rsidRDefault="00005CA7"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1"/>
      <w:bookmarkEnd w:id="102"/>
    </w:p>
    <w:p w:rsidR="002F1303" w:rsidRPr="00774608" w:rsidRDefault="002F1303" w:rsidP="002F130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rsidR="004911B3" w:rsidRPr="00774608" w:rsidRDefault="004911B3" w:rsidP="004911B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rsidR="004911B3" w:rsidRPr="00774608" w:rsidRDefault="004911B3" w:rsidP="004911B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rsidR="004911B3" w:rsidRPr="00774608" w:rsidRDefault="004911B3" w:rsidP="004911B3">
      <w:pPr>
        <w:rPr>
          <w:rFonts w:cs="Calibri"/>
          <w:b/>
          <w:i/>
          <w:lang w:val="ro-RO"/>
        </w:rPr>
      </w:pPr>
      <w:r w:rsidRPr="00774608">
        <w:rPr>
          <w:rFonts w:cs="Calibri"/>
          <w:lang w:val="ro-RO"/>
        </w:rPr>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rsidR="004911B3" w:rsidRPr="00774608" w:rsidRDefault="004911B3" w:rsidP="004911B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p w:rsidR="004911B3" w:rsidRPr="00774608"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rsidTr="00B62A7A">
        <w:trPr>
          <w:trHeight w:val="900"/>
        </w:trPr>
        <w:tc>
          <w:tcPr>
            <w:tcW w:w="9747" w:type="dxa"/>
            <w:shd w:val="clear" w:color="auto" w:fill="BFBFBF"/>
          </w:tcPr>
          <w:p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ATENȚIE!</w:t>
            </w:r>
          </w:p>
          <w:p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rsidR="004911B3" w:rsidRPr="00774608" w:rsidRDefault="004911B3" w:rsidP="004911B3">
      <w:pPr>
        <w:spacing w:after="120" w:line="240" w:lineRule="auto"/>
        <w:jc w:val="both"/>
        <w:rPr>
          <w:rFonts w:eastAsia="Times New Roman" w:cs="Calibri"/>
          <w:b/>
          <w:bCs/>
          <w:lang w:val="ro-RO"/>
        </w:rPr>
      </w:pP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3A1612" w:rsidRPr="0065347F" w:rsidRDefault="003A1612" w:rsidP="003A1612">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rsidR="003A1612" w:rsidRPr="00D93C6B" w:rsidRDefault="003A1612" w:rsidP="003A1612">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rsidR="003A1612" w:rsidRPr="00774608" w:rsidRDefault="003A1612" w:rsidP="003A1612">
      <w:pPr>
        <w:numPr>
          <w:ilvl w:val="0"/>
          <w:numId w:val="11"/>
        </w:numPr>
        <w:spacing w:after="120" w:line="240" w:lineRule="auto"/>
        <w:jc w:val="both"/>
        <w:rPr>
          <w:rFonts w:cs="Calibri"/>
          <w:lang w:val="ro-RO"/>
        </w:rPr>
      </w:pPr>
      <w:bookmarkStart w:id="103" w:name="_Hlk521500710"/>
      <w:r w:rsidRPr="00774608">
        <w:rPr>
          <w:rFonts w:cs="Calibri"/>
          <w:lang w:val="ro-RO"/>
        </w:rPr>
        <w:lastRenderedPageBreak/>
        <w:t>Certificatul de atestare fiscală pentru persoane juridice emis de ANAF, atât pentru solicitant, cât și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3"/>
    <w:p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atât pentru solicitant, cât și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rsidR="003A1612" w:rsidRPr="000D2BA6" w:rsidRDefault="003A1612" w:rsidP="003A1612">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4" w:name="_Hlk505191949"/>
      <w:r w:rsidRPr="001845AC">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04"/>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rsidR="004911B3" w:rsidRPr="00774608" w:rsidRDefault="009A10F3" w:rsidP="004911B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rsidTr="00D370F7">
        <w:tc>
          <w:tcPr>
            <w:tcW w:w="9411" w:type="dxa"/>
            <w:shd w:val="clear" w:color="auto" w:fill="BFBFBF"/>
          </w:tcPr>
          <w:p w:rsidR="004911B3" w:rsidRPr="00774608" w:rsidRDefault="004911B3" w:rsidP="00B62A7A">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rsidR="004911B3" w:rsidRPr="00774608" w:rsidRDefault="004911B3" w:rsidP="00B62A7A">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rsidR="004911B3" w:rsidRPr="00774608" w:rsidRDefault="004911B3" w:rsidP="004911B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rsidR="00911A19" w:rsidRPr="00774608" w:rsidRDefault="00911A19" w:rsidP="00A17F94">
      <w:pPr>
        <w:spacing w:after="120" w:line="240" w:lineRule="auto"/>
        <w:jc w:val="both"/>
        <w:rPr>
          <w:rFonts w:eastAsia="Times New Roman" w:cs="Calibri"/>
          <w:color w:val="000000"/>
          <w:lang w:val="ro-RO"/>
        </w:rPr>
        <w:sectPr w:rsidR="00911A19" w:rsidRPr="00774608" w:rsidSect="007D19CC">
          <w:pgSz w:w="11906" w:h="16838" w:code="9"/>
          <w:pgMar w:top="1276" w:right="902" w:bottom="992" w:left="1701" w:header="720" w:footer="720" w:gutter="0"/>
          <w:cols w:space="720"/>
          <w:docGrid w:linePitch="360"/>
        </w:sectPr>
      </w:pPr>
    </w:p>
    <w:p w:rsidR="00005CA7" w:rsidRPr="00774608" w:rsidRDefault="00005CA7" w:rsidP="00EB6C4A">
      <w:pPr>
        <w:pStyle w:val="Heading1"/>
        <w:pageBreakBefore/>
        <w:spacing w:after="120"/>
        <w:ind w:left="0"/>
        <w:jc w:val="center"/>
        <w:rPr>
          <w:rFonts w:cs="Calibri"/>
          <w:sz w:val="22"/>
          <w:szCs w:val="22"/>
          <w:lang w:val="ro-RO"/>
        </w:rPr>
      </w:pPr>
      <w:bookmarkStart w:id="105" w:name="_Toc489006365"/>
      <w:bookmarkStart w:id="106" w:name="_Toc510173707"/>
      <w:r w:rsidRPr="00774608">
        <w:rPr>
          <w:rFonts w:cs="Calibri"/>
          <w:sz w:val="22"/>
          <w:szCs w:val="22"/>
          <w:lang w:val="ro-RO"/>
        </w:rPr>
        <w:lastRenderedPageBreak/>
        <w:t>SECȚIUNEA 5: Lista documentelor ce însoțesc cererea de finanțare</w:t>
      </w:r>
      <w:bookmarkEnd w:id="105"/>
      <w:bookmarkEnd w:id="106"/>
    </w:p>
    <w:p w:rsidR="00993943" w:rsidRPr="00774608" w:rsidRDefault="00993943" w:rsidP="00A17F94">
      <w:pPr>
        <w:pStyle w:val="Heading1"/>
        <w:spacing w:after="120"/>
        <w:ind w:left="0"/>
        <w:jc w:val="both"/>
        <w:rPr>
          <w:rFonts w:cs="Calibri"/>
          <w:color w:val="000000"/>
          <w:sz w:val="22"/>
          <w:szCs w:val="22"/>
          <w:lang w:val="ro-RO"/>
        </w:rPr>
      </w:pPr>
    </w:p>
    <w:p w:rsidR="00005CA7" w:rsidRPr="00774608" w:rsidRDefault="00005CA7" w:rsidP="00A17F94">
      <w:pPr>
        <w:spacing w:after="120" w:line="240" w:lineRule="auto"/>
        <w:jc w:val="both"/>
        <w:rPr>
          <w:rFonts w:cs="Calibri"/>
          <w:lang w:val="ro-RO"/>
        </w:rPr>
      </w:pPr>
      <w:r w:rsidRPr="00774608">
        <w:rPr>
          <w:rFonts w:cs="Calibri"/>
          <w:lang w:val="ro-RO"/>
        </w:rPr>
        <w:t>La transmiterea cererii de finanțare trebuie anexate (încărcate) următoarele documente:</w:t>
      </w:r>
    </w:p>
    <w:p w:rsidR="00005CA7" w:rsidRPr="00774608" w:rsidRDefault="00005CA7" w:rsidP="00E00D6C">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rsidR="0013411F" w:rsidRDefault="0013411F" w:rsidP="00E00D6C">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rsidR="004C699D" w:rsidRPr="00774608" w:rsidRDefault="004C699D" w:rsidP="00E00D6C">
      <w:pPr>
        <w:numPr>
          <w:ilvl w:val="0"/>
          <w:numId w:val="22"/>
        </w:numPr>
        <w:spacing w:after="120" w:line="240" w:lineRule="auto"/>
        <w:jc w:val="both"/>
        <w:rPr>
          <w:rFonts w:cs="Calibri"/>
          <w:lang w:val="ro-RO"/>
        </w:rPr>
      </w:pPr>
      <w:r>
        <w:rPr>
          <w:rFonts w:cs="Calibri"/>
          <w:b/>
          <w:lang w:val="ro-RO"/>
        </w:rPr>
        <w:t>Consimțământul pentru prelucrarea datelor cu caracter personal</w:t>
      </w:r>
      <w:r>
        <w:rPr>
          <w:rFonts w:cs="Calibri"/>
          <w:lang w:val="ro-RO"/>
        </w:rPr>
        <w:t xml:space="preserve">, </w:t>
      </w:r>
      <w:r w:rsidR="00AD68D8">
        <w:rPr>
          <w:rFonts w:cs="Calibri"/>
          <w:b/>
          <w:lang w:val="ro-RO"/>
        </w:rPr>
        <w:t>A</w:t>
      </w:r>
      <w:r w:rsidRPr="00AD68D8">
        <w:rPr>
          <w:rFonts w:cs="Calibri"/>
          <w:b/>
          <w:lang w:val="ro-RO"/>
        </w:rPr>
        <w:t>nexa III.5</w:t>
      </w:r>
      <w:r>
        <w:rPr>
          <w:rFonts w:cs="Calibri"/>
          <w:lang w:val="ro-RO"/>
        </w:rPr>
        <w:t xml:space="preserve"> a prezentului ghid;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rsidR="00824561" w:rsidRPr="00774608" w:rsidRDefault="00824561" w:rsidP="00E00D6C">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rsidR="00005CA7" w:rsidRPr="00774608" w:rsidRDefault="00B600B2" w:rsidP="00E00D6C">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rsidR="00E420F4" w:rsidRPr="00774608" w:rsidRDefault="00E420F4" w:rsidP="00E00D6C">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rsidR="00005CA7" w:rsidRPr="00774608" w:rsidRDefault="00005CA7" w:rsidP="00A17F94">
      <w:pPr>
        <w:spacing w:after="120" w:line="240" w:lineRule="auto"/>
        <w:ind w:left="720"/>
        <w:jc w:val="both"/>
        <w:rPr>
          <w:rFonts w:cs="Calibri"/>
          <w:lang w:val="ro-RO"/>
        </w:rPr>
      </w:pPr>
    </w:p>
    <w:p w:rsidR="00005CA7" w:rsidRPr="00774608" w:rsidRDefault="00005CA7" w:rsidP="00EB6C4A">
      <w:pPr>
        <w:pStyle w:val="Heading1"/>
        <w:pageBreakBefore/>
        <w:spacing w:after="120"/>
        <w:ind w:left="0"/>
        <w:jc w:val="center"/>
        <w:rPr>
          <w:rFonts w:cs="Calibri"/>
          <w:sz w:val="22"/>
          <w:szCs w:val="22"/>
          <w:lang w:val="ro-RO"/>
        </w:rPr>
      </w:pPr>
      <w:bookmarkStart w:id="107" w:name="_Toc480990392"/>
      <w:bookmarkStart w:id="108" w:name="_Toc489006366"/>
      <w:bookmarkStart w:id="109" w:name="_Toc510173708"/>
      <w:r w:rsidRPr="00774608">
        <w:rPr>
          <w:rFonts w:cs="Calibri"/>
          <w:sz w:val="22"/>
          <w:szCs w:val="22"/>
          <w:lang w:val="ro-RO"/>
        </w:rPr>
        <w:lastRenderedPageBreak/>
        <w:t>SECȚIUNEA 6: Lista anexelor</w:t>
      </w:r>
      <w:bookmarkEnd w:id="107"/>
      <w:bookmarkEnd w:id="108"/>
      <w:bookmarkEnd w:id="109"/>
    </w:p>
    <w:p w:rsidR="005C0C5D" w:rsidRPr="00774608" w:rsidRDefault="005C0C5D" w:rsidP="00A17F94">
      <w:pPr>
        <w:spacing w:after="120" w:line="240" w:lineRule="auto"/>
        <w:jc w:val="both"/>
        <w:rPr>
          <w:rFonts w:cs="Calibri"/>
          <w:b/>
          <w:lang w:val="ro-RO"/>
        </w:rPr>
      </w:pPr>
      <w:r w:rsidRPr="00774608">
        <w:rPr>
          <w:rFonts w:cs="Calibri"/>
          <w:b/>
          <w:lang w:val="ro-RO"/>
        </w:rPr>
        <w:t>Anexa I: Fișa de proiect</w:t>
      </w:r>
    </w:p>
    <w:p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rsidR="00005CA7" w:rsidRPr="00774608" w:rsidRDefault="00005CA7" w:rsidP="00A17F94">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3 Declarație cu privire la respectarea legislației europene și naționale incidente, pentru achizițiile publice demarate și/sau derulate</w:t>
      </w:r>
    </w:p>
    <w:p w:rsidR="00FA1765" w:rsidRDefault="00AC0036"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rsidR="00463057" w:rsidRPr="00463057" w:rsidRDefault="00463057" w:rsidP="00A17F94">
      <w:pPr>
        <w:spacing w:after="120" w:line="240" w:lineRule="auto"/>
        <w:ind w:left="1276"/>
        <w:jc w:val="both"/>
        <w:rPr>
          <w:rFonts w:cs="Calibri"/>
          <w:lang w:val="ro-RO"/>
        </w:rPr>
      </w:pPr>
      <w:r>
        <w:rPr>
          <w:rFonts w:cs="Calibri"/>
          <w:lang w:val="ro-RO"/>
        </w:rPr>
        <w:t xml:space="preserve">III.5 </w:t>
      </w:r>
      <w:bookmarkStart w:id="110" w:name="_Hlk521420878"/>
      <w:r>
        <w:rPr>
          <w:rFonts w:cs="Calibri"/>
          <w:lang w:val="ro-RO"/>
        </w:rPr>
        <w:t xml:space="preserve">Consimțământ </w:t>
      </w:r>
      <w:r w:rsidR="009907BB">
        <w:rPr>
          <w:rFonts w:cs="Calibri"/>
          <w:lang w:val="ro-RO"/>
        </w:rPr>
        <w:t>pentru prelucrarea datelor cu caracter personal</w:t>
      </w:r>
      <w:bookmarkEnd w:id="110"/>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rsidR="00005CA7" w:rsidRPr="00774608" w:rsidRDefault="00005CA7" w:rsidP="00A17F94">
      <w:pPr>
        <w:spacing w:after="120" w:line="240" w:lineRule="auto"/>
        <w:jc w:val="both"/>
        <w:rPr>
          <w:rFonts w:cs="Calibri"/>
          <w:lang w:val="ro-RO"/>
        </w:rPr>
      </w:pPr>
      <w:r w:rsidRPr="00774608">
        <w:rPr>
          <w:rFonts w:cs="Calibri"/>
          <w:b/>
          <w:lang w:val="ro-RO"/>
        </w:rPr>
        <w:t>Anexa V: Criterii de evaluare tehnică și financiară</w:t>
      </w:r>
    </w:p>
    <w:p w:rsidR="00005CA7" w:rsidRPr="00774608" w:rsidRDefault="00005CA7" w:rsidP="00A17F94">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rsidR="00A95D6E" w:rsidRPr="008E4B1F" w:rsidRDefault="00005CA7" w:rsidP="00A95D6E">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rsidR="00005CA7" w:rsidRDefault="00005CA7" w:rsidP="00A17F94">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rsidR="00C602D9" w:rsidRPr="00774608" w:rsidRDefault="00C602D9" w:rsidP="00A17F94">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p w:rsidR="000E3D62" w:rsidRPr="00774608" w:rsidRDefault="000E3D62" w:rsidP="00A17F94">
      <w:pPr>
        <w:pStyle w:val="Heading2"/>
        <w:spacing w:before="0" w:after="120" w:line="240" w:lineRule="auto"/>
        <w:jc w:val="both"/>
        <w:rPr>
          <w:rFonts w:ascii="Calibri" w:hAnsi="Calibri" w:cs="Calibri"/>
          <w:color w:val="000000"/>
          <w:sz w:val="22"/>
          <w:szCs w:val="22"/>
          <w:lang w:val="ro-RO"/>
        </w:rPr>
      </w:pPr>
    </w:p>
    <w:sectPr w:rsidR="000E3D62" w:rsidRPr="00774608" w:rsidSect="007D19CC">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FCA" w:rsidRDefault="00C57FCA" w:rsidP="007D7B58">
      <w:pPr>
        <w:spacing w:after="0" w:line="240" w:lineRule="auto"/>
      </w:pPr>
      <w:r>
        <w:separator/>
      </w:r>
    </w:p>
  </w:endnote>
  <w:endnote w:type="continuationSeparator" w:id="0">
    <w:p w:rsidR="00C57FCA" w:rsidRDefault="00C57FCA"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22" w:rsidRDefault="00126822">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FCA" w:rsidRDefault="00C57FCA" w:rsidP="007D7B58">
      <w:pPr>
        <w:spacing w:after="0" w:line="240" w:lineRule="auto"/>
      </w:pPr>
      <w:r>
        <w:separator/>
      </w:r>
    </w:p>
  </w:footnote>
  <w:footnote w:type="continuationSeparator" w:id="0">
    <w:p w:rsidR="00C57FCA" w:rsidRDefault="00C57FCA" w:rsidP="007D7B58">
      <w:pPr>
        <w:spacing w:after="0" w:line="240" w:lineRule="auto"/>
      </w:pPr>
      <w:r>
        <w:continuationSeparator/>
      </w:r>
    </w:p>
  </w:footnote>
  <w:footnote w:id="1">
    <w:p w:rsidR="00126822" w:rsidRDefault="00126822" w:rsidP="004F60F0">
      <w:pPr>
        <w:pStyle w:val="FootnoteText"/>
        <w:jc w:val="both"/>
      </w:pPr>
      <w:r>
        <w:rPr>
          <w:rStyle w:val="FootnoteReference"/>
        </w:rPr>
        <w:footnoteRef/>
      </w:r>
      <w:r>
        <w:t xml:space="preserve"> </w:t>
      </w:r>
      <w:r>
        <w:rPr>
          <w:lang w:val="ro-RO"/>
        </w:rPr>
        <w:t xml:space="preserve">În conformitate cu prevederile H.G. nr. 775/2005 </w:t>
      </w:r>
      <w:r w:rsidRPr="006905E4">
        <w:rPr>
          <w:lang w:val="ro-RO"/>
        </w:rPr>
        <w:t xml:space="preserve">pentru aprobarea </w:t>
      </w:r>
      <w:r w:rsidRPr="00CA734B">
        <w:rPr>
          <w:i/>
          <w:lang w:val="ro-RO"/>
        </w:rPr>
        <w:t>Regulamentului privind procedurile de elaborare, monitorizare şi evaluare a politicilor publice la nivel central</w:t>
      </w:r>
      <w:r>
        <w:rPr>
          <w:lang w:val="ro-RO"/>
        </w:rPr>
        <w:t xml:space="preserve">, cu modificările și completările ulterioare, cu prevederile </w:t>
      </w:r>
      <w:r w:rsidRPr="006A3A69">
        <w:rPr>
          <w:lang w:val="ro-RO"/>
        </w:rPr>
        <w:t>H</w:t>
      </w:r>
      <w:r>
        <w:rPr>
          <w:lang w:val="ro-RO"/>
        </w:rPr>
        <w:t>.</w:t>
      </w:r>
      <w:r w:rsidRPr="006A3A69">
        <w:rPr>
          <w:lang w:val="ro-RO"/>
        </w:rPr>
        <w:t>G</w:t>
      </w:r>
      <w:r>
        <w:rPr>
          <w:lang w:val="ro-RO"/>
        </w:rPr>
        <w:t>.</w:t>
      </w:r>
      <w:r w:rsidRPr="006A3A69">
        <w:rPr>
          <w:lang w:val="ro-RO"/>
        </w:rPr>
        <w:t xml:space="preserve"> nr. 561/2009 pentru aprobarea </w:t>
      </w:r>
      <w:r w:rsidRPr="00CA734B">
        <w:rPr>
          <w:i/>
          <w:lang w:val="ro-RO"/>
        </w:rPr>
        <w:t>Regulamentului privind procedurile, la nivelul Guvernului, pentru elaborarea, avizarea şi prezentarea proiectelor de documente de politici publice, a proiectelor de acte normative, precum şi a altor documente, în vederea adoptării/aprobării</w:t>
      </w:r>
      <w:r w:rsidRPr="006A3A69">
        <w:rPr>
          <w:lang w:val="ro-RO"/>
        </w:rPr>
        <w:t>, cu modificările și completările ulterioare</w:t>
      </w:r>
      <w:r>
        <w:rPr>
          <w:lang w:val="ro-RO"/>
        </w:rPr>
        <w:t xml:space="preserve">, cu prevederile </w:t>
      </w:r>
      <w:r w:rsidRPr="005E4014">
        <w:rPr>
          <w:lang w:val="ro-RO"/>
        </w:rPr>
        <w:t>H</w:t>
      </w:r>
      <w:r>
        <w:rPr>
          <w:lang w:val="ro-RO"/>
        </w:rPr>
        <w:t>.G. nr. 1.361/</w:t>
      </w:r>
      <w:r w:rsidRPr="005E4014">
        <w:rPr>
          <w:lang w:val="ro-RO"/>
        </w:rPr>
        <w:t>2006</w:t>
      </w:r>
      <w:r>
        <w:rPr>
          <w:lang w:val="ro-RO"/>
        </w:rPr>
        <w:t xml:space="preserve"> </w:t>
      </w:r>
      <w:r w:rsidRPr="00CA734B">
        <w:rPr>
          <w:i/>
          <w:lang w:val="ro-RO"/>
        </w:rPr>
        <w:t>privind conţinutul instrumentului de prezentare şi motivare a proiectelor de acte normative supuse aprobării Guvernului</w:t>
      </w:r>
      <w:r>
        <w:rPr>
          <w:lang w:val="ro-RO"/>
        </w:rPr>
        <w:t xml:space="preserve"> și alte acte normative aplicabile. </w:t>
      </w:r>
    </w:p>
  </w:footnote>
  <w:footnote w:id="2">
    <w:p w:rsidR="00126822" w:rsidRPr="0014162F" w:rsidRDefault="00126822"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 xml:space="preserve">Ghidul privind integrarea principiilor orizontale în cadrul proiectelor finanțate din Fondurile Europene Structurale </w:t>
      </w:r>
      <w:proofErr w:type="spellStart"/>
      <w:r w:rsidRPr="0014162F">
        <w:rPr>
          <w:i/>
        </w:rPr>
        <w:t>şi</w:t>
      </w:r>
      <w:proofErr w:type="spellEnd"/>
      <w:r w:rsidRPr="0014162F">
        <w:rPr>
          <w:i/>
        </w:rPr>
        <w:t xml:space="preserve">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22" w:rsidRDefault="00126822"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rsidR="00126822" w:rsidRPr="00FD5E81" w:rsidRDefault="00126822"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POCA/399/1/1 (IP12</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 xml:space="preserve">8) </w:t>
    </w:r>
    <w:r w:rsidR="007715C9">
      <w:rPr>
        <w:rFonts w:ascii="Trebuchet MS" w:hAnsi="Trebuchet MS" w:cs="Arial"/>
        <w:i/>
        <w:color w:val="1F497D"/>
        <w:sz w:val="18"/>
        <w:szCs w:val="18"/>
        <w:lang w:val="ro-RO"/>
      </w:rPr>
      <w:t xml:space="preserve">– versiune consolidată </w:t>
    </w:r>
    <w:proofErr w:type="spellStart"/>
    <w:r w:rsidR="007715C9">
      <w:rPr>
        <w:rFonts w:ascii="Trebuchet MS" w:hAnsi="Trebuchet MS" w:cs="Arial"/>
        <w:i/>
        <w:color w:val="1F497D"/>
        <w:sz w:val="18"/>
        <w:szCs w:val="18"/>
        <w:lang w:val="ro-RO"/>
      </w:rPr>
      <w:t>corrigendum</w:t>
    </w:r>
    <w:proofErr w:type="spellEnd"/>
    <w:r w:rsidR="007715C9">
      <w:rPr>
        <w:rFonts w:ascii="Trebuchet MS" w:hAnsi="Trebuchet MS" w:cs="Arial"/>
        <w:i/>
        <w:color w:val="1F497D"/>
        <w:sz w:val="18"/>
        <w:szCs w:val="18"/>
        <w:lang w:val="ro-RO"/>
      </w:rPr>
      <w:t xml:space="preserve"> 2</w:t>
    </w:r>
    <w:r>
      <w:rPr>
        <w:rFonts w:ascii="Trebuchet MS" w:hAnsi="Trebuchet MS"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22" w:rsidRDefault="00126822">
    <w:pPr>
      <w:pStyle w:val="Header"/>
    </w:pPr>
    <w:r>
      <w:rPr>
        <w:noProof/>
        <w:lang w:val="ro-RO" w:eastAsia="ro-RO"/>
      </w:rPr>
      <w:drawing>
        <wp:anchor distT="0" distB="0" distL="114300" distR="114300" simplePos="0" relativeHeight="251657728" behindDoc="0" locked="0" layoutInCell="0" allowOverlap="1">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22" w:rsidRDefault="00126822"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rsidR="00126822" w:rsidRPr="00A2621B" w:rsidRDefault="00126822"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rsidR="00126822" w:rsidRDefault="00126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pt;height:11.2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39"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2"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3"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4"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4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0"/>
  </w:num>
  <w:num w:numId="7">
    <w:abstractNumId w:val="2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27"/>
  </w:num>
  <w:num w:numId="12">
    <w:abstractNumId w:val="16"/>
  </w:num>
  <w:num w:numId="13">
    <w:abstractNumId w:val="28"/>
  </w:num>
  <w:num w:numId="14">
    <w:abstractNumId w:val="24"/>
  </w:num>
  <w:num w:numId="15">
    <w:abstractNumId w:val="48"/>
  </w:num>
  <w:num w:numId="16">
    <w:abstractNumId w:val="21"/>
  </w:num>
  <w:num w:numId="17">
    <w:abstractNumId w:val="31"/>
  </w:num>
  <w:num w:numId="18">
    <w:abstractNumId w:val="39"/>
  </w:num>
  <w:num w:numId="19">
    <w:abstractNumId w:val="13"/>
  </w:num>
  <w:num w:numId="20">
    <w:abstractNumId w:val="19"/>
  </w:num>
  <w:num w:numId="21">
    <w:abstractNumId w:val="6"/>
  </w:num>
  <w:num w:numId="22">
    <w:abstractNumId w:val="18"/>
  </w:num>
  <w:num w:numId="23">
    <w:abstractNumId w:val="12"/>
  </w:num>
  <w:num w:numId="24">
    <w:abstractNumId w:val="15"/>
  </w:num>
  <w:num w:numId="25">
    <w:abstractNumId w:val="10"/>
  </w:num>
  <w:num w:numId="26">
    <w:abstractNumId w:val="1"/>
  </w:num>
  <w:num w:numId="27">
    <w:abstractNumId w:val="32"/>
  </w:num>
  <w:num w:numId="28">
    <w:abstractNumId w:val="25"/>
  </w:num>
  <w:num w:numId="29">
    <w:abstractNumId w:val="17"/>
  </w:num>
  <w:num w:numId="30">
    <w:abstractNumId w:val="23"/>
  </w:num>
  <w:num w:numId="31">
    <w:abstractNumId w:val="33"/>
  </w:num>
  <w:num w:numId="32">
    <w:abstractNumId w:val="36"/>
  </w:num>
  <w:num w:numId="33">
    <w:abstractNumId w:val="34"/>
  </w:num>
  <w:num w:numId="34">
    <w:abstractNumId w:val="38"/>
  </w:num>
  <w:num w:numId="35">
    <w:abstractNumId w:val="26"/>
  </w:num>
  <w:num w:numId="36">
    <w:abstractNumId w:val="37"/>
  </w:num>
  <w:num w:numId="37">
    <w:abstractNumId w:val="2"/>
  </w:num>
  <w:num w:numId="38">
    <w:abstractNumId w:val="11"/>
  </w:num>
  <w:num w:numId="39">
    <w:abstractNumId w:val="14"/>
  </w:num>
  <w:num w:numId="40">
    <w:abstractNumId w:val="35"/>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20"/>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3138"/>
    <w:rsid w:val="000047D7"/>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96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1AF6"/>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26822"/>
    <w:rsid w:val="0013016F"/>
    <w:rsid w:val="00130891"/>
    <w:rsid w:val="0013141E"/>
    <w:rsid w:val="001328CB"/>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B7C"/>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A86"/>
    <w:rsid w:val="001F2F69"/>
    <w:rsid w:val="001F31A5"/>
    <w:rsid w:val="001F46CD"/>
    <w:rsid w:val="001F4C72"/>
    <w:rsid w:val="001F4DB3"/>
    <w:rsid w:val="001F5304"/>
    <w:rsid w:val="001F5EF5"/>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3397"/>
    <w:rsid w:val="00283528"/>
    <w:rsid w:val="0028353F"/>
    <w:rsid w:val="002839FD"/>
    <w:rsid w:val="00283A68"/>
    <w:rsid w:val="00285216"/>
    <w:rsid w:val="00286209"/>
    <w:rsid w:val="0029062E"/>
    <w:rsid w:val="0029130B"/>
    <w:rsid w:val="0029139B"/>
    <w:rsid w:val="00291648"/>
    <w:rsid w:val="00292894"/>
    <w:rsid w:val="0029291D"/>
    <w:rsid w:val="00292EC1"/>
    <w:rsid w:val="0029311A"/>
    <w:rsid w:val="00293C70"/>
    <w:rsid w:val="00293DFE"/>
    <w:rsid w:val="002943A7"/>
    <w:rsid w:val="002958AA"/>
    <w:rsid w:val="00296026"/>
    <w:rsid w:val="00297A1B"/>
    <w:rsid w:val="002A0D77"/>
    <w:rsid w:val="002A157C"/>
    <w:rsid w:val="002A1679"/>
    <w:rsid w:val="002A1B32"/>
    <w:rsid w:val="002A281D"/>
    <w:rsid w:val="002A40EE"/>
    <w:rsid w:val="002A63D5"/>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DA9"/>
    <w:rsid w:val="00462B65"/>
    <w:rsid w:val="00463057"/>
    <w:rsid w:val="00463292"/>
    <w:rsid w:val="00463B1E"/>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433D"/>
    <w:rsid w:val="004A50C7"/>
    <w:rsid w:val="004A5183"/>
    <w:rsid w:val="004A58CD"/>
    <w:rsid w:val="004A5A26"/>
    <w:rsid w:val="004A5FA1"/>
    <w:rsid w:val="004A67C0"/>
    <w:rsid w:val="004A6DF3"/>
    <w:rsid w:val="004A6E25"/>
    <w:rsid w:val="004A71B7"/>
    <w:rsid w:val="004B04EA"/>
    <w:rsid w:val="004B08D9"/>
    <w:rsid w:val="004B2B6F"/>
    <w:rsid w:val="004B2EDD"/>
    <w:rsid w:val="004B3FB4"/>
    <w:rsid w:val="004B5E22"/>
    <w:rsid w:val="004B6473"/>
    <w:rsid w:val="004B66ED"/>
    <w:rsid w:val="004B703D"/>
    <w:rsid w:val="004B74EB"/>
    <w:rsid w:val="004B7849"/>
    <w:rsid w:val="004C3232"/>
    <w:rsid w:val="004C329F"/>
    <w:rsid w:val="004C3458"/>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F7C"/>
    <w:rsid w:val="004D1B47"/>
    <w:rsid w:val="004D25F9"/>
    <w:rsid w:val="004D2BCE"/>
    <w:rsid w:val="004D31FD"/>
    <w:rsid w:val="004D3DB8"/>
    <w:rsid w:val="004D4033"/>
    <w:rsid w:val="004D4779"/>
    <w:rsid w:val="004D51C5"/>
    <w:rsid w:val="004D5B37"/>
    <w:rsid w:val="004D5C33"/>
    <w:rsid w:val="004D5E66"/>
    <w:rsid w:val="004D6CFE"/>
    <w:rsid w:val="004D74E4"/>
    <w:rsid w:val="004D75E4"/>
    <w:rsid w:val="004D75EA"/>
    <w:rsid w:val="004D7903"/>
    <w:rsid w:val="004E0499"/>
    <w:rsid w:val="004E07FA"/>
    <w:rsid w:val="004E1AE4"/>
    <w:rsid w:val="004E2702"/>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1014E"/>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6512"/>
    <w:rsid w:val="006374A7"/>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6C20"/>
    <w:rsid w:val="00677A26"/>
    <w:rsid w:val="00680690"/>
    <w:rsid w:val="006807C8"/>
    <w:rsid w:val="006815DD"/>
    <w:rsid w:val="00682844"/>
    <w:rsid w:val="006829D2"/>
    <w:rsid w:val="00683F9B"/>
    <w:rsid w:val="00684A39"/>
    <w:rsid w:val="006854B3"/>
    <w:rsid w:val="00685B31"/>
    <w:rsid w:val="00685FE3"/>
    <w:rsid w:val="006868CB"/>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E75"/>
    <w:rsid w:val="006B75D6"/>
    <w:rsid w:val="006C017E"/>
    <w:rsid w:val="006C2E08"/>
    <w:rsid w:val="006C466F"/>
    <w:rsid w:val="006C4C3C"/>
    <w:rsid w:val="006C6090"/>
    <w:rsid w:val="006C66D4"/>
    <w:rsid w:val="006D047A"/>
    <w:rsid w:val="006D14E4"/>
    <w:rsid w:val="006D1C59"/>
    <w:rsid w:val="006D208F"/>
    <w:rsid w:val="006D226D"/>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29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15C9"/>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9CC"/>
    <w:rsid w:val="007D1C75"/>
    <w:rsid w:val="007D1D2F"/>
    <w:rsid w:val="007D29E4"/>
    <w:rsid w:val="007D2E71"/>
    <w:rsid w:val="007D3CC4"/>
    <w:rsid w:val="007D3E63"/>
    <w:rsid w:val="007D48D8"/>
    <w:rsid w:val="007D4B64"/>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84C"/>
    <w:rsid w:val="00815A1C"/>
    <w:rsid w:val="00815BB9"/>
    <w:rsid w:val="00815EA1"/>
    <w:rsid w:val="008161A1"/>
    <w:rsid w:val="0081691E"/>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8048F"/>
    <w:rsid w:val="008816CF"/>
    <w:rsid w:val="00881CF2"/>
    <w:rsid w:val="00883503"/>
    <w:rsid w:val="0088353D"/>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A39"/>
    <w:rsid w:val="008B6EB3"/>
    <w:rsid w:val="008B7703"/>
    <w:rsid w:val="008B7F77"/>
    <w:rsid w:val="008B7F9F"/>
    <w:rsid w:val="008C01C3"/>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8CE"/>
    <w:rsid w:val="008D471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414A"/>
    <w:rsid w:val="008F556B"/>
    <w:rsid w:val="008F58EE"/>
    <w:rsid w:val="008F7339"/>
    <w:rsid w:val="008F76B3"/>
    <w:rsid w:val="009006F2"/>
    <w:rsid w:val="009010C4"/>
    <w:rsid w:val="009011B2"/>
    <w:rsid w:val="00901AFC"/>
    <w:rsid w:val="009020F4"/>
    <w:rsid w:val="009021F8"/>
    <w:rsid w:val="00904336"/>
    <w:rsid w:val="00904877"/>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17E6"/>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461F"/>
    <w:rsid w:val="009C5047"/>
    <w:rsid w:val="009C507B"/>
    <w:rsid w:val="009C511C"/>
    <w:rsid w:val="009C55EC"/>
    <w:rsid w:val="009C57EB"/>
    <w:rsid w:val="009C5AF7"/>
    <w:rsid w:val="009C7A17"/>
    <w:rsid w:val="009C7B45"/>
    <w:rsid w:val="009D005D"/>
    <w:rsid w:val="009D0387"/>
    <w:rsid w:val="009D2947"/>
    <w:rsid w:val="009D36AF"/>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84A"/>
    <w:rsid w:val="00A12455"/>
    <w:rsid w:val="00A12526"/>
    <w:rsid w:val="00A12727"/>
    <w:rsid w:val="00A12F08"/>
    <w:rsid w:val="00A13EEE"/>
    <w:rsid w:val="00A14D2A"/>
    <w:rsid w:val="00A151B6"/>
    <w:rsid w:val="00A163E8"/>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C3"/>
    <w:rsid w:val="00AC5DE1"/>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C16"/>
    <w:rsid w:val="00B13D71"/>
    <w:rsid w:val="00B14195"/>
    <w:rsid w:val="00B149BB"/>
    <w:rsid w:val="00B1550F"/>
    <w:rsid w:val="00B15753"/>
    <w:rsid w:val="00B15970"/>
    <w:rsid w:val="00B15A8E"/>
    <w:rsid w:val="00B1613B"/>
    <w:rsid w:val="00B165D0"/>
    <w:rsid w:val="00B167F4"/>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B4D"/>
    <w:rsid w:val="00BA615B"/>
    <w:rsid w:val="00BB05DF"/>
    <w:rsid w:val="00BB0B0F"/>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B41"/>
    <w:rsid w:val="00C04937"/>
    <w:rsid w:val="00C057F1"/>
    <w:rsid w:val="00C05AC9"/>
    <w:rsid w:val="00C05EAC"/>
    <w:rsid w:val="00C065D2"/>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422"/>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B6E"/>
    <w:rsid w:val="00C51120"/>
    <w:rsid w:val="00C51808"/>
    <w:rsid w:val="00C52078"/>
    <w:rsid w:val="00C52A9C"/>
    <w:rsid w:val="00C52D05"/>
    <w:rsid w:val="00C531B1"/>
    <w:rsid w:val="00C53C63"/>
    <w:rsid w:val="00C53F1D"/>
    <w:rsid w:val="00C56758"/>
    <w:rsid w:val="00C57FCA"/>
    <w:rsid w:val="00C602D9"/>
    <w:rsid w:val="00C60A1C"/>
    <w:rsid w:val="00C60B70"/>
    <w:rsid w:val="00C61C3F"/>
    <w:rsid w:val="00C61D38"/>
    <w:rsid w:val="00C61FCE"/>
    <w:rsid w:val="00C62F4A"/>
    <w:rsid w:val="00C6315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39F0"/>
    <w:rsid w:val="00C8527D"/>
    <w:rsid w:val="00C852E9"/>
    <w:rsid w:val="00C85AC4"/>
    <w:rsid w:val="00C863F2"/>
    <w:rsid w:val="00C869BA"/>
    <w:rsid w:val="00C86C73"/>
    <w:rsid w:val="00C877A5"/>
    <w:rsid w:val="00C879D7"/>
    <w:rsid w:val="00C91302"/>
    <w:rsid w:val="00C91553"/>
    <w:rsid w:val="00C925CD"/>
    <w:rsid w:val="00C92851"/>
    <w:rsid w:val="00C940B8"/>
    <w:rsid w:val="00C94136"/>
    <w:rsid w:val="00C95E6F"/>
    <w:rsid w:val="00C95E9C"/>
    <w:rsid w:val="00C9609C"/>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214D"/>
    <w:rsid w:val="00D6364E"/>
    <w:rsid w:val="00D6443C"/>
    <w:rsid w:val="00D670CC"/>
    <w:rsid w:val="00D673D0"/>
    <w:rsid w:val="00D67DAF"/>
    <w:rsid w:val="00D7012F"/>
    <w:rsid w:val="00D70181"/>
    <w:rsid w:val="00D70DFB"/>
    <w:rsid w:val="00D7281D"/>
    <w:rsid w:val="00D7289D"/>
    <w:rsid w:val="00D733CD"/>
    <w:rsid w:val="00D75C5A"/>
    <w:rsid w:val="00D76BCE"/>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98C"/>
    <w:rsid w:val="00DA77A4"/>
    <w:rsid w:val="00DA7C24"/>
    <w:rsid w:val="00DB0405"/>
    <w:rsid w:val="00DB05D5"/>
    <w:rsid w:val="00DB0628"/>
    <w:rsid w:val="00DB0992"/>
    <w:rsid w:val="00DB179D"/>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D81"/>
    <w:rsid w:val="00E80BDA"/>
    <w:rsid w:val="00E80D6E"/>
    <w:rsid w:val="00E80D82"/>
    <w:rsid w:val="00E815A2"/>
    <w:rsid w:val="00E81D12"/>
    <w:rsid w:val="00E82D88"/>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3297"/>
    <w:rsid w:val="00ED389F"/>
    <w:rsid w:val="00ED4230"/>
    <w:rsid w:val="00ED46E1"/>
    <w:rsid w:val="00ED57C8"/>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BD9"/>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D0A"/>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7F2BB"/>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cadru-strategic/strategii-nationale/" TargetMode="Externa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poca.ro/cadru-strategic/lista-operatiunilor-selectate-si-finant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c.europa.eu/sfc/en/2014/support-ms/mon-guide" TargetMode="External"/><Relationship Id="rId10" Type="http://schemas.openxmlformats.org/officeDocument/2006/relationships/footer" Target="footer1.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cadru-strategic/strategii-nationa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E9825-773C-4B9C-8715-4DA5C9FB2693}">
  <ds:schemaRefs>
    <ds:schemaRef ds:uri="http://schemas.openxmlformats.org/officeDocument/2006/bibliography"/>
  </ds:schemaRefs>
</ds:datastoreItem>
</file>

<file path=customXml/itemProps2.xml><?xml version="1.0" encoding="utf-8"?>
<ds:datastoreItem xmlns:ds="http://schemas.openxmlformats.org/officeDocument/2006/customXml" ds:itemID="{250DEB18-63EA-4B48-A91A-EF0DAD7E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15726</Words>
  <Characters>91212</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106725</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roxana.chitu</cp:lastModifiedBy>
  <cp:revision>5</cp:revision>
  <cp:lastPrinted>2018-08-03T08:31:00Z</cp:lastPrinted>
  <dcterms:created xsi:type="dcterms:W3CDTF">2018-12-06T13:33:00Z</dcterms:created>
  <dcterms:modified xsi:type="dcterms:W3CDTF">2018-12-06T13:34:00Z</dcterms:modified>
</cp:coreProperties>
</file>